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（一）报名方式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填写报名登记表后视为本次投标报名成功</w:t>
      </w:r>
    </w:p>
    <w:p>
      <w:pPr>
        <w:numPr>
          <w:ilvl w:val="0"/>
          <w:numId w:val="1"/>
        </w:numPr>
        <w:ind w:firstLine="560" w:firstLineChars="200"/>
        <w:rPr>
          <w:rFonts w:hint="eastAsia"/>
          <w:sz w:val="28"/>
          <w:szCs w:val="28"/>
          <w:lang w:val="en-US" w:eastAsia="zh-CN"/>
        </w:rPr>
      </w:pPr>
      <w:r>
        <w:rPr>
          <w:rFonts w:hint="eastAsia"/>
          <w:sz w:val="28"/>
          <w:szCs w:val="28"/>
          <w:lang w:val="en-US" w:eastAsia="zh-CN"/>
        </w:rPr>
        <w:t>投标资质要求：</w:t>
      </w:r>
    </w:p>
    <w:p>
      <w:pPr>
        <w:numPr>
          <w:numId w:val="0"/>
        </w:numPr>
        <w:rPr>
          <w:rFonts w:hint="eastAsia"/>
          <w:sz w:val="28"/>
          <w:szCs w:val="28"/>
          <w:lang w:val="en-US" w:eastAsia="zh-CN"/>
        </w:rPr>
      </w:pPr>
      <w:r>
        <w:rPr>
          <w:rFonts w:hint="eastAsia"/>
          <w:sz w:val="28"/>
          <w:szCs w:val="28"/>
          <w:lang w:val="en-US" w:eastAsia="zh-CN"/>
        </w:rPr>
        <w:t xml:space="preserve">    1.供应商营业执照、医疗器械经营许可证或备案凭证；</w:t>
      </w:r>
    </w:p>
    <w:p>
      <w:pPr>
        <w:numPr>
          <w:numId w:val="0"/>
        </w:numPr>
        <w:ind w:firstLine="560" w:firstLineChars="200"/>
        <w:rPr>
          <w:rFonts w:hint="eastAsia"/>
          <w:sz w:val="28"/>
          <w:szCs w:val="28"/>
          <w:lang w:val="en-US" w:eastAsia="zh-CN"/>
        </w:rPr>
      </w:pPr>
      <w:r>
        <w:rPr>
          <w:rFonts w:hint="eastAsia"/>
          <w:sz w:val="28"/>
          <w:szCs w:val="28"/>
          <w:lang w:val="en-US" w:eastAsia="zh-CN"/>
        </w:rPr>
        <w:t>2.生产厂家的营业执照、医疗器械生产许可证、医疗器械经营许可证或备案凭证、产品医疗器械注册证或备案凭证（非医疗器械提供相关资质证书）</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2"/>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五、投标失信行为黑名单制度</w:t>
      </w:r>
    </w:p>
    <w:p>
      <w:pPr>
        <w:numPr>
          <w:ilvl w:val="0"/>
          <w:numId w:val="0"/>
        </w:numPr>
        <w:ind w:firstLine="560" w:firstLineChars="200"/>
        <w:rPr>
          <w:rFonts w:hint="default"/>
          <w:sz w:val="28"/>
          <w:szCs w:val="28"/>
          <w:lang w:val="en-US" w:eastAsia="zh-CN"/>
        </w:rPr>
      </w:pPr>
      <w:r>
        <w:rPr>
          <w:rFonts w:hint="eastAsia"/>
          <w:sz w:val="28"/>
          <w:szCs w:val="28"/>
          <w:lang w:val="en-US" w:eastAsia="zh-CN"/>
        </w:rPr>
        <w:t>见下页</w:t>
      </w: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default"/>
          <w:b/>
          <w:bCs/>
          <w:sz w:val="32"/>
          <w:szCs w:val="32"/>
          <w:lang w:val="en-US" w:eastAsia="zh-CN"/>
        </w:rPr>
      </w:pPr>
      <w:bookmarkStart w:id="0" w:name="_GoBack"/>
      <w:bookmarkEnd w:id="0"/>
      <w:r>
        <w:rPr>
          <w:rFonts w:hint="eastAsia"/>
          <w:b/>
          <w:bCs/>
          <w:sz w:val="32"/>
          <w:szCs w:val="32"/>
          <w:lang w:val="en-US" w:eastAsia="zh-CN"/>
        </w:rPr>
        <w:t>投标失信行为黑名单制度</w:t>
      </w:r>
    </w:p>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9.归我院解释的其他投标不良行为。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4AA376FD"/>
    <w:multiLevelType w:val="singleLevel"/>
    <w:tmpl w:val="4AA376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B1B175F"/>
    <w:rsid w:val="1C4D6435"/>
    <w:rsid w:val="26E23DC6"/>
    <w:rsid w:val="29111AF1"/>
    <w:rsid w:val="2A4A721A"/>
    <w:rsid w:val="2C4241C8"/>
    <w:rsid w:val="2C8253A5"/>
    <w:rsid w:val="31EE4882"/>
    <w:rsid w:val="379842B0"/>
    <w:rsid w:val="4B8219EB"/>
    <w:rsid w:val="57224BDA"/>
    <w:rsid w:val="58796575"/>
    <w:rsid w:val="59634CAF"/>
    <w:rsid w:val="596B63CE"/>
    <w:rsid w:val="5B6E25BC"/>
    <w:rsid w:val="5CF27DD3"/>
    <w:rsid w:val="683C6BCF"/>
    <w:rsid w:val="70F60A69"/>
    <w:rsid w:val="731E024A"/>
    <w:rsid w:val="77E46B25"/>
    <w:rsid w:val="7CD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2019-11-07T02:15:22Z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