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院内招标采购供应商须知</w:t>
      </w:r>
    </w:p>
    <w:p>
      <w:pPr>
        <w:numPr>
          <w:ilvl w:val="0"/>
          <w:numId w:val="0"/>
        </w:numPr>
        <w:rPr>
          <w:rFonts w:hint="eastAsia"/>
          <w:b/>
          <w:bCs/>
          <w:sz w:val="28"/>
          <w:szCs w:val="28"/>
          <w:lang w:val="en-US" w:eastAsia="zh-CN"/>
        </w:rPr>
      </w:pPr>
    </w:p>
    <w:p>
      <w:pPr>
        <w:numPr>
          <w:ilvl w:val="0"/>
          <w:numId w:val="0"/>
        </w:numPr>
        <w:rPr>
          <w:rFonts w:hint="eastAsia"/>
          <w:b/>
          <w:bCs/>
          <w:sz w:val="28"/>
          <w:szCs w:val="28"/>
          <w:lang w:val="en-US" w:eastAsia="zh-CN"/>
        </w:rPr>
      </w:pPr>
      <w:r>
        <w:rPr>
          <w:rFonts w:hint="eastAsia"/>
          <w:lang w:val="en-US" w:eastAsia="zh-CN"/>
        </w:rPr>
        <w:t xml:space="preserve">                          </w:t>
      </w:r>
      <w:r>
        <w:drawing>
          <wp:inline distT="0" distB="0" distL="114300" distR="114300">
            <wp:extent cx="2159000" cy="2023745"/>
            <wp:effectExtent l="0" t="0" r="12700" b="14605"/>
            <wp:docPr id="1"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40911084858"/>
                    <pic:cNvPicPr>
                      <a:picLocks noChangeAspect="1"/>
                    </pic:cNvPicPr>
                  </pic:nvPicPr>
                  <pic:blipFill>
                    <a:blip r:embed="rId6"/>
                    <a:stretch>
                      <a:fillRect/>
                    </a:stretch>
                  </pic:blipFill>
                  <pic:spPr>
                    <a:xfrm>
                      <a:off x="0" y="0"/>
                      <a:ext cx="2159000" cy="2023745"/>
                    </a:xfrm>
                    <a:prstGeom prst="rect">
                      <a:avLst/>
                    </a:prstGeom>
                    <a:noFill/>
                    <a:ln>
                      <a:noFill/>
                    </a:ln>
                  </pic:spPr>
                </pic:pic>
              </a:graphicData>
            </a:graphic>
          </wp:inline>
        </w:drawing>
      </w: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default"/>
          <w:b w:val="0"/>
          <w:bCs w:val="0"/>
          <w:sz w:val="28"/>
          <w:szCs w:val="28"/>
          <w:lang w:val="en-US" w:eastAsia="zh-CN"/>
        </w:rPr>
      </w:pPr>
      <w:r>
        <w:rPr>
          <w:rFonts w:hint="eastAsia"/>
          <w:b w:val="0"/>
          <w:bCs w:val="0"/>
          <w:sz w:val="28"/>
          <w:szCs w:val="28"/>
          <w:lang w:val="en-US" w:eastAsia="zh-CN"/>
        </w:rPr>
        <w:t>器械类</w:t>
      </w: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32"/>
          <w:szCs w:val="32"/>
          <w:lang w:val="en-US" w:eastAsia="zh-CN"/>
        </w:rPr>
      </w:pPr>
    </w:p>
    <w:p>
      <w:pPr>
        <w:numPr>
          <w:ilvl w:val="0"/>
          <w:numId w:val="0"/>
        </w:numPr>
        <w:rPr>
          <w:rFonts w:hint="eastAsia"/>
          <w:b/>
          <w:bCs/>
          <w:sz w:val="28"/>
          <w:szCs w:val="28"/>
          <w:lang w:val="en-US" w:eastAsia="zh-CN"/>
        </w:rPr>
      </w:pPr>
    </w:p>
    <w:p>
      <w:pPr>
        <w:numPr>
          <w:ilvl w:val="0"/>
          <w:numId w:val="0"/>
        </w:numPr>
        <w:jc w:val="center"/>
        <w:rPr>
          <w:rFonts w:hint="eastAsia"/>
          <w:b/>
          <w:bCs/>
          <w:sz w:val="28"/>
          <w:szCs w:val="28"/>
          <w:lang w:val="en-US" w:eastAsia="zh-CN"/>
        </w:rPr>
      </w:pPr>
      <w:r>
        <w:rPr>
          <w:rFonts w:hint="eastAsia"/>
          <w:b/>
          <w:bCs/>
          <w:sz w:val="28"/>
          <w:szCs w:val="28"/>
          <w:lang w:val="en-US" w:eastAsia="zh-CN"/>
        </w:rPr>
        <w:t>2019年10月</w:t>
      </w:r>
    </w:p>
    <w:p>
      <w:pPr>
        <w:numPr>
          <w:ilvl w:val="0"/>
          <w:numId w:val="0"/>
        </w:numPr>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723" w:firstLineChars="200"/>
        <w:jc w:val="center"/>
        <w:rPr>
          <w:rFonts w:hint="eastAsia"/>
          <w:b/>
          <w:bCs/>
          <w:sz w:val="36"/>
          <w:szCs w:val="36"/>
          <w:lang w:val="en-US" w:eastAsia="zh-CN"/>
        </w:rPr>
      </w:pPr>
      <w:r>
        <w:rPr>
          <w:rFonts w:hint="eastAsia"/>
          <w:b/>
          <w:bCs/>
          <w:sz w:val="36"/>
          <w:szCs w:val="36"/>
          <w:lang w:val="en-US" w:eastAsia="zh-CN"/>
        </w:rPr>
        <w:t>目录</w:t>
      </w:r>
    </w:p>
    <w:p>
      <w:pPr>
        <w:numPr>
          <w:ilvl w:val="0"/>
          <w:numId w:val="0"/>
        </w:numPr>
        <w:ind w:firstLine="723" w:firstLineChars="200"/>
        <w:jc w:val="center"/>
        <w:rPr>
          <w:rFonts w:hint="eastAsia"/>
          <w:b/>
          <w:bCs/>
          <w:sz w:val="36"/>
          <w:szCs w:val="36"/>
          <w:lang w:val="en-US" w:eastAsia="zh-CN"/>
        </w:rPr>
      </w:pPr>
    </w:p>
    <w:p>
      <w:pPr>
        <w:numPr>
          <w:ilvl w:val="0"/>
          <w:numId w:val="0"/>
        </w:numPr>
        <w:ind w:firstLine="560" w:firstLineChars="200"/>
        <w:jc w:val="both"/>
        <w:rPr>
          <w:rFonts w:hint="default"/>
          <w:b w:val="0"/>
          <w:bCs w:val="0"/>
          <w:sz w:val="28"/>
          <w:szCs w:val="28"/>
          <w:lang w:val="en-US" w:eastAsia="zh-CN"/>
        </w:rPr>
      </w:pPr>
      <w:r>
        <w:rPr>
          <w:rFonts w:hint="eastAsia"/>
          <w:b w:val="0"/>
          <w:bCs w:val="0"/>
          <w:sz w:val="28"/>
          <w:szCs w:val="28"/>
          <w:lang w:val="en-US" w:eastAsia="zh-CN"/>
        </w:rPr>
        <w:t>一、报名须知....................................................................3</w:t>
      </w:r>
    </w:p>
    <w:p>
      <w:pPr>
        <w:numPr>
          <w:ilvl w:val="0"/>
          <w:numId w:val="0"/>
        </w:numPr>
        <w:ind w:firstLine="560" w:firstLineChars="200"/>
        <w:jc w:val="both"/>
        <w:rPr>
          <w:rFonts w:hint="default"/>
          <w:b w:val="0"/>
          <w:bCs w:val="0"/>
          <w:sz w:val="28"/>
          <w:szCs w:val="28"/>
          <w:lang w:val="en-US" w:eastAsia="zh-CN"/>
        </w:rPr>
      </w:pPr>
      <w:r>
        <w:rPr>
          <w:rFonts w:hint="eastAsia"/>
          <w:b w:val="0"/>
          <w:bCs w:val="0"/>
          <w:sz w:val="28"/>
          <w:szCs w:val="28"/>
          <w:lang w:val="en-US" w:eastAsia="zh-CN"/>
        </w:rPr>
        <w:t>二、响应文件....................................................................3</w:t>
      </w:r>
    </w:p>
    <w:p>
      <w:pPr>
        <w:numPr>
          <w:ilvl w:val="0"/>
          <w:numId w:val="0"/>
        </w:numPr>
        <w:ind w:firstLine="840" w:firstLineChars="300"/>
        <w:jc w:val="both"/>
        <w:rPr>
          <w:rFonts w:hint="default"/>
          <w:b w:val="0"/>
          <w:bCs w:val="0"/>
          <w:sz w:val="28"/>
          <w:szCs w:val="28"/>
          <w:lang w:val="en-US" w:eastAsia="zh-CN"/>
        </w:rPr>
      </w:pPr>
      <w:r>
        <w:rPr>
          <w:rFonts w:hint="eastAsia"/>
          <w:b w:val="0"/>
          <w:bCs w:val="0"/>
          <w:sz w:val="28"/>
          <w:szCs w:val="28"/>
          <w:lang w:val="en-US" w:eastAsia="zh-CN"/>
        </w:rPr>
        <w:t>（一）响应文件............................................................3</w:t>
      </w:r>
    </w:p>
    <w:p>
      <w:pPr>
        <w:numPr>
          <w:ilvl w:val="0"/>
          <w:numId w:val="0"/>
        </w:numPr>
        <w:ind w:firstLine="840" w:firstLineChars="300"/>
        <w:jc w:val="both"/>
        <w:rPr>
          <w:rFonts w:hint="default"/>
          <w:b w:val="0"/>
          <w:bCs w:val="0"/>
          <w:sz w:val="28"/>
          <w:szCs w:val="28"/>
          <w:lang w:val="en-US" w:eastAsia="zh-CN"/>
        </w:rPr>
      </w:pPr>
      <w:r>
        <w:rPr>
          <w:rFonts w:hint="eastAsia"/>
          <w:b w:val="0"/>
          <w:bCs w:val="0"/>
          <w:sz w:val="28"/>
          <w:szCs w:val="28"/>
          <w:lang w:val="en-US" w:eastAsia="zh-CN"/>
        </w:rPr>
        <w:t>（二）编制要求............................................................3</w:t>
      </w:r>
    </w:p>
    <w:p>
      <w:pPr>
        <w:numPr>
          <w:ilvl w:val="0"/>
          <w:numId w:val="0"/>
        </w:numPr>
        <w:ind w:firstLine="840" w:firstLineChars="300"/>
        <w:jc w:val="both"/>
        <w:rPr>
          <w:rFonts w:hint="default"/>
          <w:b w:val="0"/>
          <w:bCs w:val="0"/>
          <w:sz w:val="28"/>
          <w:szCs w:val="28"/>
          <w:lang w:val="en-US" w:eastAsia="zh-CN"/>
        </w:rPr>
      </w:pPr>
      <w:r>
        <w:rPr>
          <w:rFonts w:hint="eastAsia"/>
          <w:b w:val="0"/>
          <w:bCs w:val="0"/>
          <w:sz w:val="28"/>
          <w:szCs w:val="28"/>
          <w:lang w:val="en-US" w:eastAsia="zh-CN"/>
        </w:rPr>
        <w:t>（三）投标报价............................................................3</w:t>
      </w:r>
    </w:p>
    <w:p>
      <w:pPr>
        <w:numPr>
          <w:ilvl w:val="0"/>
          <w:numId w:val="0"/>
        </w:numPr>
        <w:ind w:firstLine="560" w:firstLineChars="200"/>
        <w:rPr>
          <w:rFonts w:hint="default"/>
          <w:b w:val="0"/>
          <w:bCs w:val="0"/>
          <w:sz w:val="28"/>
          <w:szCs w:val="28"/>
          <w:lang w:val="en-US" w:eastAsia="zh-CN"/>
        </w:rPr>
      </w:pPr>
      <w:r>
        <w:rPr>
          <w:rFonts w:hint="eastAsia"/>
          <w:b w:val="0"/>
          <w:bCs w:val="0"/>
          <w:sz w:val="28"/>
          <w:szCs w:val="28"/>
          <w:lang w:val="en-US" w:eastAsia="zh-CN"/>
        </w:rPr>
        <w:t>三、开标............................................................................4</w:t>
      </w:r>
    </w:p>
    <w:p>
      <w:pPr>
        <w:numPr>
          <w:ilvl w:val="0"/>
          <w:numId w:val="0"/>
        </w:numPr>
        <w:ind w:firstLine="840" w:firstLineChars="300"/>
        <w:rPr>
          <w:rFonts w:hint="default"/>
          <w:b w:val="0"/>
          <w:bCs w:val="0"/>
          <w:sz w:val="28"/>
          <w:szCs w:val="28"/>
          <w:lang w:val="en-US" w:eastAsia="zh-CN"/>
        </w:rPr>
      </w:pPr>
      <w:r>
        <w:rPr>
          <w:rFonts w:hint="eastAsia"/>
          <w:b w:val="0"/>
          <w:bCs w:val="0"/>
          <w:sz w:val="28"/>
          <w:szCs w:val="28"/>
          <w:lang w:val="en-US" w:eastAsia="zh-CN"/>
        </w:rPr>
        <w:t>（一）开标程序............................................................4</w:t>
      </w:r>
    </w:p>
    <w:p>
      <w:pPr>
        <w:numPr>
          <w:ilvl w:val="0"/>
          <w:numId w:val="0"/>
        </w:numPr>
        <w:ind w:firstLine="840" w:firstLineChars="300"/>
        <w:rPr>
          <w:rFonts w:hint="default"/>
          <w:b w:val="0"/>
          <w:bCs w:val="0"/>
          <w:sz w:val="28"/>
          <w:szCs w:val="28"/>
          <w:lang w:val="en-US" w:eastAsia="zh-CN"/>
        </w:rPr>
      </w:pPr>
      <w:r>
        <w:rPr>
          <w:rFonts w:hint="eastAsia"/>
          <w:b w:val="0"/>
          <w:bCs w:val="0"/>
          <w:sz w:val="28"/>
          <w:szCs w:val="28"/>
          <w:lang w:val="en-US" w:eastAsia="zh-CN"/>
        </w:rPr>
        <w:t>（二）评标办法............................................................4</w:t>
      </w:r>
    </w:p>
    <w:p>
      <w:pPr>
        <w:numPr>
          <w:ilvl w:val="0"/>
          <w:numId w:val="0"/>
        </w:numPr>
        <w:ind w:firstLine="560" w:firstLineChars="200"/>
        <w:rPr>
          <w:rFonts w:hint="default"/>
          <w:b w:val="0"/>
          <w:bCs w:val="0"/>
          <w:sz w:val="28"/>
          <w:szCs w:val="28"/>
          <w:lang w:val="en-US" w:eastAsia="zh-CN"/>
        </w:rPr>
      </w:pPr>
      <w:r>
        <w:rPr>
          <w:rFonts w:hint="eastAsia"/>
          <w:b w:val="0"/>
          <w:bCs w:val="0"/>
          <w:sz w:val="28"/>
          <w:szCs w:val="28"/>
          <w:lang w:val="en-US" w:eastAsia="zh-CN"/>
        </w:rPr>
        <w:t>四、质疑............................................................................6</w:t>
      </w:r>
    </w:p>
    <w:p>
      <w:pPr>
        <w:numPr>
          <w:ilvl w:val="0"/>
          <w:numId w:val="0"/>
        </w:numPr>
        <w:ind w:firstLine="560" w:firstLineChars="200"/>
        <w:rPr>
          <w:rFonts w:hint="default"/>
          <w:b w:val="0"/>
          <w:bCs w:val="0"/>
          <w:sz w:val="28"/>
          <w:szCs w:val="28"/>
          <w:lang w:val="en-US" w:eastAsia="zh-CN"/>
        </w:rPr>
      </w:pPr>
      <w:r>
        <w:rPr>
          <w:rFonts w:hint="eastAsia"/>
          <w:b w:val="0"/>
          <w:bCs w:val="0"/>
          <w:sz w:val="28"/>
          <w:szCs w:val="28"/>
          <w:lang w:val="en-US" w:eastAsia="zh-CN"/>
        </w:rPr>
        <w:t>五、投标失信行为.............................................................7</w:t>
      </w: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ind w:firstLine="562" w:firstLineChars="200"/>
        <w:rPr>
          <w:rFonts w:hint="eastAsia"/>
          <w:b/>
          <w:bCs/>
          <w:sz w:val="28"/>
          <w:szCs w:val="28"/>
          <w:lang w:val="en-US" w:eastAsia="zh-CN"/>
        </w:rPr>
      </w:pPr>
    </w:p>
    <w:p>
      <w:pPr>
        <w:numPr>
          <w:ilvl w:val="0"/>
          <w:numId w:val="0"/>
        </w:numPr>
        <w:rPr>
          <w:rFonts w:hint="eastAsia"/>
          <w:b/>
          <w:bCs/>
          <w:sz w:val="28"/>
          <w:szCs w:val="28"/>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一、报名须知</w:t>
      </w:r>
    </w:p>
    <w:p>
      <w:pPr>
        <w:numPr>
          <w:ilvl w:val="0"/>
          <w:numId w:val="0"/>
        </w:numPr>
        <w:ind w:firstLine="560" w:firstLineChars="200"/>
        <w:rPr>
          <w:rFonts w:hint="eastAsia"/>
          <w:sz w:val="28"/>
          <w:szCs w:val="28"/>
          <w:lang w:val="en-US" w:eastAsia="zh-CN"/>
        </w:rPr>
      </w:pPr>
      <w:r>
        <w:rPr>
          <w:rFonts w:hint="eastAsia"/>
          <w:sz w:val="28"/>
          <w:szCs w:val="28"/>
          <w:lang w:val="en-US" w:eastAsia="zh-CN"/>
        </w:rPr>
        <w:t>报名方式：</w:t>
      </w:r>
    </w:p>
    <w:p>
      <w:pPr>
        <w:numPr>
          <w:ilvl w:val="0"/>
          <w:numId w:val="0"/>
        </w:numPr>
        <w:ind w:firstLine="560" w:firstLineChars="200"/>
        <w:rPr>
          <w:rFonts w:hint="eastAsia"/>
          <w:sz w:val="28"/>
          <w:szCs w:val="28"/>
          <w:lang w:val="en-US" w:eastAsia="zh-CN"/>
        </w:rPr>
      </w:pPr>
      <w:r>
        <w:rPr>
          <w:rFonts w:hint="eastAsia"/>
          <w:sz w:val="28"/>
          <w:szCs w:val="28"/>
          <w:lang w:val="en-US" w:eastAsia="zh-CN"/>
        </w:rPr>
        <w:t>1.报名方式采用现场报名</w:t>
      </w:r>
    </w:p>
    <w:p>
      <w:pPr>
        <w:numPr>
          <w:ilvl w:val="0"/>
          <w:numId w:val="0"/>
        </w:numPr>
        <w:ind w:firstLine="560" w:firstLineChars="200"/>
        <w:rPr>
          <w:rFonts w:hint="eastAsia"/>
          <w:sz w:val="28"/>
          <w:szCs w:val="28"/>
          <w:lang w:val="en-US" w:eastAsia="zh-CN"/>
        </w:rPr>
      </w:pPr>
      <w:r>
        <w:rPr>
          <w:rFonts w:hint="eastAsia"/>
          <w:sz w:val="28"/>
          <w:szCs w:val="28"/>
          <w:lang w:val="en-US" w:eastAsia="zh-CN"/>
        </w:rPr>
        <w:t>2.报名地点：</w:t>
      </w:r>
    </w:p>
    <w:p>
      <w:pPr>
        <w:numPr>
          <w:ilvl w:val="0"/>
          <w:numId w:val="0"/>
        </w:numPr>
        <w:ind w:firstLine="560" w:firstLineChars="200"/>
        <w:rPr>
          <w:rFonts w:hint="eastAsia"/>
          <w:sz w:val="28"/>
          <w:szCs w:val="28"/>
          <w:lang w:val="en-US" w:eastAsia="zh-CN"/>
        </w:rPr>
      </w:pPr>
      <w:r>
        <w:rPr>
          <w:rFonts w:hint="eastAsia"/>
          <w:sz w:val="28"/>
          <w:szCs w:val="28"/>
          <w:lang w:val="en-US" w:eastAsia="zh-CN"/>
        </w:rPr>
        <w:t>鄂尔多斯市中心医院东胜部门诊楼903室</w:t>
      </w:r>
    </w:p>
    <w:p>
      <w:pPr>
        <w:numPr>
          <w:ilvl w:val="0"/>
          <w:numId w:val="0"/>
        </w:numPr>
        <w:ind w:firstLine="560" w:firstLineChars="200"/>
        <w:rPr>
          <w:rFonts w:hint="eastAsia"/>
          <w:sz w:val="28"/>
          <w:szCs w:val="28"/>
          <w:lang w:val="en-US" w:eastAsia="zh-CN"/>
        </w:rPr>
      </w:pPr>
      <w:r>
        <w:rPr>
          <w:rFonts w:hint="eastAsia"/>
          <w:sz w:val="28"/>
          <w:szCs w:val="28"/>
          <w:lang w:val="en-US" w:eastAsia="zh-CN"/>
        </w:rPr>
        <w:t xml:space="preserve">填写报名登记表后视为本次投标报名成功    </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二、响应文件</w:t>
      </w:r>
    </w:p>
    <w:p>
      <w:pPr>
        <w:numPr>
          <w:ilvl w:val="0"/>
          <w:numId w:val="0"/>
        </w:numPr>
        <w:ind w:firstLine="560" w:firstLineChars="200"/>
        <w:rPr>
          <w:rFonts w:hint="default"/>
          <w:sz w:val="28"/>
          <w:szCs w:val="28"/>
          <w:lang w:val="en-US" w:eastAsia="zh-CN"/>
        </w:rPr>
      </w:pPr>
      <w:r>
        <w:rPr>
          <w:rFonts w:hint="eastAsia"/>
          <w:sz w:val="28"/>
          <w:szCs w:val="28"/>
          <w:lang w:val="en-US" w:eastAsia="zh-CN"/>
        </w:rPr>
        <w:t>（一）响应文件的构成及编制要求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响应文件应按照“响应文件格式”进行编写（可以增加附页），作为响应文件的组成部分。</w:t>
      </w:r>
    </w:p>
    <w:p>
      <w:pPr>
        <w:numPr>
          <w:ilvl w:val="0"/>
          <w:numId w:val="0"/>
        </w:numPr>
        <w:ind w:firstLine="560" w:firstLineChars="200"/>
        <w:rPr>
          <w:rFonts w:hint="eastAsia"/>
          <w:sz w:val="28"/>
          <w:szCs w:val="28"/>
          <w:lang w:val="en-US" w:eastAsia="zh-CN"/>
        </w:rPr>
      </w:pPr>
      <w:r>
        <w:rPr>
          <w:rFonts w:hint="eastAsia"/>
          <w:sz w:val="28"/>
          <w:szCs w:val="28"/>
          <w:lang w:val="en-US" w:eastAsia="zh-CN"/>
        </w:rPr>
        <w:t>（二）编制要求</w:t>
      </w:r>
    </w:p>
    <w:p>
      <w:pPr>
        <w:numPr>
          <w:ilvl w:val="0"/>
          <w:numId w:val="0"/>
        </w:numPr>
        <w:ind w:firstLine="560" w:firstLineChars="200"/>
        <w:rPr>
          <w:rFonts w:hint="eastAsia"/>
          <w:sz w:val="28"/>
          <w:szCs w:val="28"/>
          <w:lang w:val="en-US" w:eastAsia="zh-CN"/>
        </w:rPr>
      </w:pPr>
      <w:r>
        <w:rPr>
          <w:rFonts w:hint="eastAsia"/>
          <w:sz w:val="28"/>
          <w:szCs w:val="28"/>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numPr>
          <w:ilvl w:val="0"/>
          <w:numId w:val="0"/>
        </w:num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（三）投标报价</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1.供应商进行报价时，按“开标一览表”和“分项报价明细表”规定的格式报出总价和分项价格。</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2.投标报价不得有选择性报价和附有条件的报价，不得缺项、漏项、不得高于预算价，否则按无效投标处理。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3.对报价的计算错误按以下原则修正：</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3.1响应文件中开标一览表（报价表）内容与响应文件中响应内容不一致的，以开标一览表（报价表）为准；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3.2大写金额和小写金额不一致的，以大写金额为准；</w:t>
      </w:r>
    </w:p>
    <w:p>
      <w:pPr>
        <w:numPr>
          <w:ilvl w:val="0"/>
          <w:numId w:val="0"/>
        </w:numPr>
        <w:ind w:firstLine="56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3.3单价金额之和与总价不符的，应以总价为准。</w:t>
      </w:r>
    </w:p>
    <w:p>
      <w:pPr>
        <w:numPr>
          <w:ilvl w:val="0"/>
          <w:numId w:val="0"/>
        </w:numPr>
        <w:ind w:leftChars="200"/>
        <w:rPr>
          <w:rFonts w:hint="eastAsia"/>
          <w:b/>
          <w:bCs/>
          <w:sz w:val="28"/>
          <w:szCs w:val="28"/>
          <w:lang w:val="en-US" w:eastAsia="zh-CN"/>
        </w:rPr>
      </w:pPr>
      <w:r>
        <w:rPr>
          <w:rFonts w:hint="eastAsia"/>
          <w:b/>
          <w:bCs/>
          <w:sz w:val="28"/>
          <w:szCs w:val="28"/>
          <w:lang w:val="en-US" w:eastAsia="zh-CN"/>
        </w:rPr>
        <w:t>三、开标</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（一）开标程序</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1.宣布开标纪律；</w:t>
      </w:r>
    </w:p>
    <w:p>
      <w:pPr>
        <w:numPr>
          <w:ilvl w:val="0"/>
          <w:numId w:val="0"/>
        </w:numPr>
        <w:ind w:left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2.公布采购项目名称及预算金额；</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3.公布在截止时间前报名成功的供应商名称；</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4.供应商提交投标文件；</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5.宣读供应商第一次报价；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6.供应商回避，评委进行资格、参数等审查；</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7.供应商进行二次报价；</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8.宣读中标结果。</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（二）评标办法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w:t>
      </w:r>
      <w:r>
        <w:rPr>
          <w:rFonts w:hint="default" w:ascii="宋体" w:hAnsi="宋体" w:eastAsia="宋体" w:cs="宋体"/>
          <w:b w:val="0"/>
          <w:bCs w:val="0"/>
          <w:sz w:val="28"/>
          <w:szCs w:val="28"/>
          <w:lang w:val="en-US" w:eastAsia="zh-CN"/>
        </w:rPr>
        <w:t>投标共分为两次报价。第一次报价即投标文件里的报价，第二次报价为投标现场报价。评标活动遵循公平、公正、科学的原则，以</w:t>
      </w:r>
      <w:r>
        <w:rPr>
          <w:rFonts w:hint="eastAsia" w:ascii="宋体" w:hAnsi="宋体" w:eastAsia="宋体" w:cs="宋体"/>
          <w:b w:val="0"/>
          <w:bCs w:val="0"/>
          <w:sz w:val="28"/>
          <w:szCs w:val="28"/>
          <w:lang w:val="en-US" w:eastAsia="zh-CN"/>
        </w:rPr>
        <w:t>采购项目的参数要求</w:t>
      </w:r>
      <w:r>
        <w:rPr>
          <w:rFonts w:hint="default" w:ascii="宋体" w:hAnsi="宋体" w:eastAsia="宋体" w:cs="宋体"/>
          <w:b w:val="0"/>
          <w:bCs w:val="0"/>
          <w:sz w:val="28"/>
          <w:szCs w:val="28"/>
          <w:lang w:val="en-US" w:eastAsia="zh-CN"/>
        </w:rPr>
        <w:t>和投标文件为评标的基本依据，采用满足实质性响应的最低价中标法。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w:t>
      </w:r>
      <w:r>
        <w:rPr>
          <w:rFonts w:hint="default" w:ascii="宋体" w:hAnsi="宋体" w:eastAsia="宋体" w:cs="宋体"/>
          <w:b w:val="0"/>
          <w:bCs w:val="0"/>
          <w:sz w:val="28"/>
          <w:szCs w:val="28"/>
          <w:lang w:val="en-US" w:eastAsia="zh-CN"/>
        </w:rPr>
        <w:t>报名产品不满足技术要求的、报价高于预算的、资质不全的，均取消</w:t>
      </w:r>
      <w:r>
        <w:rPr>
          <w:rFonts w:hint="eastAsia" w:ascii="宋体" w:hAnsi="宋体" w:eastAsia="宋体" w:cs="宋体"/>
          <w:b w:val="0"/>
          <w:bCs w:val="0"/>
          <w:sz w:val="28"/>
          <w:szCs w:val="28"/>
          <w:lang w:val="en-US" w:eastAsia="zh-CN"/>
        </w:rPr>
        <w:t>投标</w:t>
      </w:r>
      <w:r>
        <w:rPr>
          <w:rFonts w:hint="default" w:ascii="宋体" w:hAnsi="宋体" w:eastAsia="宋体" w:cs="宋体"/>
          <w:b w:val="0"/>
          <w:bCs w:val="0"/>
          <w:sz w:val="28"/>
          <w:szCs w:val="28"/>
          <w:lang w:val="en-US" w:eastAsia="zh-CN"/>
        </w:rPr>
        <w:t>资格。</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3.开标异议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供应商对开标有异议的，应当在开标现场提出，开标结束后，不再受理对开标过程的异议。</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4.投标无效情形</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评委将对各位投标人的资质、参数及响应程度、标书制作规范等进行审核，凡其中有一项不合格的，按无效投标处理。</w:t>
      </w:r>
    </w:p>
    <w:p>
      <w:pPr>
        <w:numPr>
          <w:ilvl w:val="0"/>
          <w:numId w:val="0"/>
        </w:numPr>
        <w:ind w:left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5.有下列情形之一的，视为供应商串通投标：</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（1）不同供应商的响应文件由同一单位或者个人编制，表现为制作格式等相同；</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（2）不同供应商的响应文件由同一单位或者个人办理投标事宜；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（3）不同供应商的响应文件载明的项目管理或联系人为同一人；</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（4）不同供应商的响应文件异常一致或者投标报价呈规律性差异；</w:t>
      </w:r>
    </w:p>
    <w:p>
      <w:pPr>
        <w:numPr>
          <w:ilvl w:val="0"/>
          <w:numId w:val="0"/>
        </w:numPr>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 xml:space="preserve">    </w:t>
      </w:r>
      <w:r>
        <w:rPr>
          <w:rFonts w:hint="eastAsia" w:ascii="宋体" w:hAnsi="宋体" w:eastAsia="宋体" w:cs="宋体"/>
          <w:b/>
          <w:bCs/>
          <w:sz w:val="28"/>
          <w:szCs w:val="28"/>
          <w:lang w:val="en-US" w:eastAsia="zh-CN"/>
        </w:rPr>
        <w:t>说明：在项目评审时被认定为串通投标的投标人不得参加该项目下的投标活动。</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6.废标情形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（1）符合专业条件的供应商或者对谈判文件作实质响应的供应商不足3家（我院招标采购办法规定及经评审委员同意的除外）；</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（2）出现影响采购公正的违法、违规行为的；</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（3）因重大变故，采购任务取消；</w:t>
      </w:r>
    </w:p>
    <w:p>
      <w:pPr>
        <w:numPr>
          <w:ilvl w:val="0"/>
          <w:numId w:val="0"/>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（4）法律、法规规定的其他情形。</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7.中标通知书发放</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我院招标办以书面形式向成交供应商发出中标书，中标通知书是合同的重要组成部分，对采购人和成交供应商具有同等法律效力。</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成交供应商需在规定时间内到指定地点领取中标通知书，须持中标通知书签订成交合同。</w:t>
      </w:r>
    </w:p>
    <w:p>
      <w:pPr>
        <w:numPr>
          <w:ilvl w:val="0"/>
          <w:numId w:val="0"/>
        </w:numPr>
        <w:ind w:firstLine="562" w:firstLineChars="20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四、质疑</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一）供应商认为采购过程和中标、成交结果使自己权益受到损害的，可以在知道或者应知其权益受到损害之日起7个工作日内，以书面形式一次性向我单位提出质疑，质疑采用实名制。我单位将在7个工作日内以书面形式针对质疑内容作出答复。</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（二）供应商提出质疑应当提交质疑函和必要的证明材料。质疑函应当包括下列内容：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1.供应商的姓名或者名称、地址、邮编、联系人及联系电话；</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2.质疑项目名称；</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3.具体、明确的质疑事项和与质疑事项相关的请求；</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4.事实依据及必要的法律依据；</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5.质疑日期</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（三）供应商在提出质疑时，请严格按照相关法律法规及质疑函范本要求提出和制作，否则，自行承担相关不利后果。</w:t>
      </w:r>
    </w:p>
    <w:p>
      <w:pPr>
        <w:numPr>
          <w:ilvl w:val="0"/>
          <w:numId w:val="0"/>
        </w:numPr>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对捏造事实，提供虚假材料或者以非法手段取得证明材料进行恶意质疑的，一经查实，将上报监督部门，并不得再参与我院的任何采购项目。</w:t>
      </w:r>
    </w:p>
    <w:p>
      <w:pPr>
        <w:numPr>
          <w:ilvl w:val="0"/>
          <w:numId w:val="1"/>
        </w:numPr>
        <w:ind w:firstLine="560" w:firstLineChars="20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质疑电话</w:t>
      </w:r>
    </w:p>
    <w:p>
      <w:pPr>
        <w:numPr>
          <w:ilvl w:val="0"/>
          <w:numId w:val="0"/>
        </w:numPr>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纪检监察室   电话：0477-8367180 </w:t>
      </w:r>
    </w:p>
    <w:p>
      <w:pPr>
        <w:numPr>
          <w:ilvl w:val="0"/>
          <w:numId w:val="0"/>
        </w:numPr>
        <w:ind w:firstLine="562" w:firstLineChars="200"/>
        <w:rPr>
          <w:rFonts w:hint="eastAsia"/>
          <w:b/>
          <w:bCs/>
          <w:sz w:val="28"/>
          <w:szCs w:val="28"/>
          <w:lang w:val="en-US" w:eastAsia="zh-CN"/>
        </w:rPr>
      </w:pPr>
      <w:r>
        <w:rPr>
          <w:rFonts w:hint="eastAsia"/>
          <w:b/>
          <w:bCs/>
          <w:sz w:val="28"/>
          <w:szCs w:val="28"/>
          <w:lang w:val="en-US" w:eastAsia="zh-CN"/>
        </w:rPr>
        <w:t>五、投标失信行为黑名单制度</w:t>
      </w:r>
    </w:p>
    <w:p>
      <w:pPr>
        <w:numPr>
          <w:ilvl w:val="0"/>
          <w:numId w:val="0"/>
        </w:numPr>
        <w:ind w:firstLine="560" w:firstLineChars="200"/>
        <w:rPr>
          <w:rFonts w:hint="default"/>
          <w:sz w:val="28"/>
          <w:szCs w:val="28"/>
          <w:lang w:val="en-US" w:eastAsia="zh-CN"/>
        </w:rPr>
      </w:pPr>
      <w:r>
        <w:rPr>
          <w:rFonts w:hint="eastAsia"/>
          <w:sz w:val="28"/>
          <w:szCs w:val="28"/>
          <w:lang w:val="en-US" w:eastAsia="zh-CN"/>
        </w:rPr>
        <w:t>见下页</w:t>
      </w:r>
    </w:p>
    <w:p>
      <w:pPr>
        <w:numPr>
          <w:ilvl w:val="0"/>
          <w:numId w:val="0"/>
        </w:numPr>
        <w:ind w:left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ind w:firstLine="560" w:firstLineChars="200"/>
        <w:rPr>
          <w:rFonts w:hint="default"/>
          <w:sz w:val="28"/>
          <w:szCs w:val="28"/>
          <w:lang w:val="en-US" w:eastAsia="zh-CN"/>
        </w:rPr>
      </w:pPr>
    </w:p>
    <w:p>
      <w:pPr>
        <w:numPr>
          <w:ilvl w:val="0"/>
          <w:numId w:val="0"/>
        </w:numPr>
        <w:rPr>
          <w:rFonts w:hint="default"/>
          <w:sz w:val="28"/>
          <w:szCs w:val="28"/>
          <w:lang w:val="en-US" w:eastAsia="zh-CN"/>
        </w:rPr>
      </w:pPr>
      <w:r>
        <w:rPr>
          <w:rFonts w:hint="eastAsia"/>
          <w:sz w:val="28"/>
          <w:szCs w:val="28"/>
          <w:lang w:val="en-US" w:eastAsia="zh-CN"/>
        </w:rPr>
        <w:t xml:space="preserve"> </w:t>
      </w: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ind w:firstLine="560" w:firstLineChars="200"/>
        <w:rPr>
          <w:rFonts w:hint="eastAsia"/>
          <w:sz w:val="28"/>
          <w:szCs w:val="28"/>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jc w:val="center"/>
        <w:rPr>
          <w:rFonts w:hint="eastAsia"/>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249" w:firstLineChars="8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投标失信行为黑名单制度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为规范院内招标采购活动，约束投标供应商行为，保障医院的合法权益，现制定院内招标采购黑名单制度。</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一、投标供应商有如下行为的之一的，纳入黑名单目录。</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黑名单记录内容：投标厂家名称、报名联系人、电话等。</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（一）提供、采用虚假报名材料进行投标报名；</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（二）报名成功后无故不参加开标或开标迟到；</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（三）在投标过程中存在陪标、串标等不良行为；</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（四）无故弃标，无故弃标的厂家不予退还投标保证金（对在规定时间内不供货、不弃标的厂家在合同条款中要设置院方强制解除合同条款）；</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（五）中标后10个工作日内无正当理由未签订采购合同或拒绝签订采购合同；（与总务器械核定）</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（六）中标后不履行招标公告要求，例如不按时完工或交货、不履行质保条款、将项目私自转包等；</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（七）所供货物低于参数要求、工程项目未按要求施工，未能通过验收，存在欺诈行为等；</w:t>
      </w:r>
    </w:p>
    <w:p>
      <w:pPr>
        <w:keepNext w:val="0"/>
        <w:keepLines w:val="0"/>
        <w:pageBreakBefore w:val="0"/>
        <w:widowControl w:val="0"/>
        <w:kinsoku/>
        <w:wordWrap/>
        <w:overflowPunct/>
        <w:topLinePunct w:val="0"/>
        <w:autoSpaceDE/>
        <w:autoSpaceDN/>
        <w:bidi w:val="0"/>
        <w:adjustRightInd/>
        <w:snapToGrid/>
        <w:spacing w:line="540" w:lineRule="exact"/>
        <w:ind w:firstLine="280" w:firstLineChars="1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（八）经院方评标委员会认定的其他投标不良行为。</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二、处罚措施</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1.违反第1项、第2项、第3项条款的，自确定之日起，一年内不允许再次参加医院的招标采购活动。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宋体" w:hAnsi="宋体" w:eastAsia="宋体" w:cs="宋体"/>
          <w:kern w:val="2"/>
          <w:sz w:val="28"/>
          <w:szCs w:val="28"/>
          <w:lang w:val="en-US" w:eastAsia="zh-CN" w:bidi="ar-SA"/>
        </w:rPr>
      </w:pPr>
      <w:r>
        <w:rPr>
          <w:rFonts w:hint="eastAsia" w:ascii="宋体" w:hAnsi="宋体" w:eastAsia="宋体" w:cs="宋体"/>
          <w:sz w:val="28"/>
          <w:szCs w:val="28"/>
          <w:lang w:val="en-US" w:eastAsia="zh-CN"/>
        </w:rPr>
        <w:t>2.违反第4项、第5项、第6项、第7项、第8项条款的，自确定之日起，三年内不允许再次参加医院的招标采购活动。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bCs/>
          <w:sz w:val="28"/>
          <w:szCs w:val="28"/>
          <w:lang w:val="en-US" w:eastAsia="zh-CN"/>
        </w:rPr>
        <w:t>六、合同签订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中标单位持中标通知书、投标文件及合同模板（一式六份，其中管理科室1份、审计科1份、财务科1份、招标办1份、中标供应商2份）同管理科室及分管院领导签订采购合同；合同签订后由招标办审核盖章。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器械科地址：门诊楼913室     联系电话：0477—8367254</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招标办地址：门诊楼903室     联系电话：0477-8367192</w:t>
      </w:r>
      <w:bookmarkStart w:id="0" w:name="_GoBack"/>
      <w:bookmarkEnd w:id="0"/>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eastAsia"/>
          <w:lang w:val="en-US" w:eastAsia="zh-CN"/>
        </w:rPr>
      </w:pPr>
    </w:p>
    <w:p>
      <w:pPr>
        <w:tabs>
          <w:tab w:val="left" w:pos="2121"/>
        </w:tabs>
        <w:bidi w:val="0"/>
        <w:jc w:val="left"/>
        <w:rPr>
          <w:rFonts w:hint="default"/>
          <w:lang w:val="en-US" w:eastAsia="zh-CN"/>
        </w:rPr>
      </w:pPr>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8BB1C"/>
    <w:multiLevelType w:val="singleLevel"/>
    <w:tmpl w:val="8B08BB1C"/>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F27DD3"/>
    <w:rsid w:val="02E43353"/>
    <w:rsid w:val="069429D0"/>
    <w:rsid w:val="08DB2790"/>
    <w:rsid w:val="1B1B175F"/>
    <w:rsid w:val="1C4D6435"/>
    <w:rsid w:val="21BB1DE6"/>
    <w:rsid w:val="236678DE"/>
    <w:rsid w:val="26E23DC6"/>
    <w:rsid w:val="29111AF1"/>
    <w:rsid w:val="2A4A721A"/>
    <w:rsid w:val="2C4241C8"/>
    <w:rsid w:val="2C8253A5"/>
    <w:rsid w:val="31EE4882"/>
    <w:rsid w:val="379842B0"/>
    <w:rsid w:val="4B8219EB"/>
    <w:rsid w:val="50BF356A"/>
    <w:rsid w:val="57224BDA"/>
    <w:rsid w:val="58796575"/>
    <w:rsid w:val="59634CAF"/>
    <w:rsid w:val="596B63CE"/>
    <w:rsid w:val="59EB6855"/>
    <w:rsid w:val="5B6E25BC"/>
    <w:rsid w:val="5CF27DD3"/>
    <w:rsid w:val="61362A60"/>
    <w:rsid w:val="661D3F69"/>
    <w:rsid w:val="683C6BCF"/>
    <w:rsid w:val="70F60A69"/>
    <w:rsid w:val="731E024A"/>
    <w:rsid w:val="76AD4C59"/>
    <w:rsid w:val="77E46B25"/>
    <w:rsid w:val="7CDF7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丫丫1383477281</cp:lastModifiedBy>
  <cp:lastPrinted>2019-10-29T03:34:00Z</cp:lastPrinted>
  <dcterms:modified xsi:type="dcterms:W3CDTF">2020-01-06T07:41:08Z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