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bCs/>
          <w:sz w:val="28"/>
          <w:szCs w:val="28"/>
          <w:lang w:val="en-US" w:eastAsia="zh-CN"/>
        </w:rPr>
      </w:pPr>
      <w:r>
        <w:rPr>
          <w:rFonts w:hint="eastAsia"/>
          <w:b/>
          <w:bCs/>
          <w:sz w:val="28"/>
          <w:szCs w:val="28"/>
          <w:lang w:val="en-US" w:eastAsia="zh-CN"/>
        </w:rPr>
        <w:t>组织脱水机</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2020年6月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364" w:type="dxa"/>
            <w:vAlign w:val="center"/>
          </w:tcPr>
          <w:p>
            <w:pPr>
              <w:pStyle w:val="10"/>
              <w:ind w:firstLine="0" w:firstLineChars="0"/>
              <w:jc w:val="center"/>
              <w:rPr>
                <w:rFonts w:ascii="宋体" w:hAnsi="宋体"/>
                <w:kern w:val="0"/>
                <w:sz w:val="24"/>
                <w:szCs w:val="24"/>
              </w:rPr>
            </w:pPr>
            <w:bookmarkStart w:id="0" w:name="_Toc491862079"/>
            <w:r>
              <w:rPr>
                <w:rFonts w:hint="eastAsia" w:ascii="宋体" w:hAnsi="宋体"/>
                <w:kern w:val="0"/>
                <w:sz w:val="24"/>
                <w:szCs w:val="24"/>
              </w:rPr>
              <w:t xml:space="preserve">   主要商务条款</w:t>
            </w:r>
            <w:bookmarkEnd w:id="0"/>
          </w:p>
        </w:tc>
        <w:tc>
          <w:tcPr>
            <w:tcW w:w="6158" w:type="dxa"/>
            <w:vAlign w:val="center"/>
          </w:tcPr>
          <w:p>
            <w:pPr>
              <w:pStyle w:val="10"/>
              <w:ind w:firstLine="0" w:firstLineChars="0"/>
              <w:jc w:val="center"/>
              <w:rPr>
                <w:rFonts w:ascii="宋体" w:hAnsi="宋体"/>
                <w:kern w:val="0"/>
                <w:sz w:val="24"/>
                <w:szCs w:val="24"/>
              </w:rPr>
            </w:pPr>
            <w:bookmarkStart w:id="1" w:name="_Toc491862080"/>
            <w:r>
              <w:rPr>
                <w:rFonts w:hint="eastAsia" w:ascii="宋体" w:hAnsi="宋体"/>
                <w:kern w:val="0"/>
                <w:sz w:val="24"/>
                <w:szCs w:val="24"/>
              </w:rPr>
              <w:t>具体要求</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364" w:type="dxa"/>
            <w:vAlign w:val="center"/>
          </w:tcPr>
          <w:p>
            <w:pPr>
              <w:pStyle w:val="10"/>
              <w:ind w:firstLine="0" w:firstLineChars="0"/>
              <w:jc w:val="center"/>
              <w:rPr>
                <w:rFonts w:ascii="宋体" w:hAnsi="宋体"/>
                <w:kern w:val="0"/>
                <w:sz w:val="24"/>
                <w:szCs w:val="24"/>
              </w:rPr>
            </w:pPr>
            <w:bookmarkStart w:id="2" w:name="_Toc491862082"/>
            <w:r>
              <w:rPr>
                <w:rFonts w:hint="eastAsia" w:ascii="宋体" w:hAnsi="宋体"/>
                <w:kern w:val="0"/>
                <w:sz w:val="24"/>
                <w:szCs w:val="24"/>
              </w:rPr>
              <w:t xml:space="preserve">  采购预算/最高限价</w:t>
            </w:r>
            <w:bookmarkEnd w:id="2"/>
          </w:p>
        </w:tc>
        <w:tc>
          <w:tcPr>
            <w:tcW w:w="6158" w:type="dxa"/>
            <w:vAlign w:val="center"/>
          </w:tcPr>
          <w:p>
            <w:pPr>
              <w:rPr>
                <w:rFonts w:hint="eastAsia" w:ascii="宋体" w:hAnsi="宋体" w:eastAsia="宋体" w:cs="Times New Roman"/>
                <w:kern w:val="0"/>
                <w:sz w:val="24"/>
                <w:szCs w:val="24"/>
                <w:lang w:val="en-US" w:eastAsia="zh-CN"/>
              </w:rPr>
            </w:pPr>
            <w:bookmarkStart w:id="3" w:name="_Toc491862083"/>
            <w:r>
              <w:rPr>
                <w:rFonts w:hint="eastAsia" w:ascii="宋体" w:hAnsi="宋体" w:eastAsia="宋体" w:cs="Times New Roman"/>
                <w:kern w:val="0"/>
                <w:sz w:val="24"/>
                <w:szCs w:val="24"/>
                <w:lang w:val="en-US" w:eastAsia="zh-CN"/>
              </w:rPr>
              <w:t>450000元</w:t>
            </w:r>
            <w:bookmarkEnd w:id="3"/>
            <w:r>
              <w:rPr>
                <w:rFonts w:hint="eastAsia" w:ascii="宋体" w:hAnsi="宋体" w:eastAsia="宋体" w:cs="Times New Roman"/>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64" w:type="dxa"/>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6158" w:type="dxa"/>
            <w:vAlign w:val="center"/>
          </w:tcPr>
          <w:p>
            <w:pPr>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签订合同后</w:t>
            </w:r>
            <w:r>
              <w:rPr>
                <w:rFonts w:hint="eastAsia" w:ascii="宋体" w:hAnsi="宋体" w:eastAsia="宋体" w:cs="Times New Roman"/>
                <w:kern w:val="0"/>
                <w:sz w:val="24"/>
                <w:szCs w:val="24"/>
                <w:u w:val="single"/>
                <w:lang w:val="en-US" w:eastAsia="zh-CN"/>
              </w:rPr>
              <w:t xml:space="preserve"> 30 </w:t>
            </w:r>
            <w:r>
              <w:rPr>
                <w:rFonts w:hint="eastAsia" w:ascii="宋体" w:hAnsi="宋体" w:eastAsia="宋体" w:cs="Times New Roman"/>
                <w:kern w:val="0"/>
                <w:sz w:val="24"/>
                <w:szCs w:val="24"/>
              </w:rPr>
              <w:t>日内。</w:t>
            </w:r>
            <w:r>
              <w:rPr>
                <w:rFonts w:ascii="宋体" w:hAnsi="宋体" w:eastAsia="宋体"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364" w:type="dxa"/>
            <w:vAlign w:val="center"/>
          </w:tcPr>
          <w:p>
            <w:pPr>
              <w:pStyle w:val="10"/>
              <w:ind w:firstLine="0" w:firstLineChars="0"/>
              <w:jc w:val="center"/>
              <w:rPr>
                <w:rFonts w:ascii="宋体" w:hAnsi="宋体"/>
                <w:kern w:val="0"/>
                <w:sz w:val="24"/>
                <w:szCs w:val="24"/>
              </w:rPr>
            </w:pPr>
            <w:bookmarkStart w:id="4" w:name="_Toc491862089"/>
            <w:r>
              <w:rPr>
                <w:rFonts w:hint="eastAsia" w:ascii="宋体" w:hAnsi="宋体"/>
                <w:kern w:val="0"/>
                <w:sz w:val="24"/>
                <w:szCs w:val="24"/>
              </w:rPr>
              <w:t>交付使用地点</w:t>
            </w:r>
            <w:bookmarkEnd w:id="4"/>
          </w:p>
        </w:tc>
        <w:tc>
          <w:tcPr>
            <w:tcW w:w="6158" w:type="dxa"/>
            <w:vAlign w:val="center"/>
          </w:tcPr>
          <w:p>
            <w:pPr>
              <w:pStyle w:val="10"/>
              <w:ind w:firstLine="0" w:firstLineChars="0"/>
              <w:rPr>
                <w:rFonts w:ascii="宋体" w:hAnsi="宋体"/>
                <w:kern w:val="0"/>
                <w:sz w:val="24"/>
                <w:szCs w:val="24"/>
              </w:rPr>
            </w:pPr>
            <w:bookmarkStart w:id="5" w:name="_Toc491862090"/>
            <w:r>
              <w:rPr>
                <w:rFonts w:hint="eastAsia" w:ascii="宋体" w:hAnsi="宋体"/>
                <w:kern w:val="0"/>
                <w:sz w:val="24"/>
                <w:szCs w:val="24"/>
              </w:rPr>
              <w:t>采购人指定地点。</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364" w:type="dxa"/>
            <w:vAlign w:val="center"/>
          </w:tcPr>
          <w:p>
            <w:pPr>
              <w:pStyle w:val="10"/>
              <w:ind w:firstLine="0" w:firstLineChars="0"/>
              <w:jc w:val="center"/>
              <w:rPr>
                <w:rFonts w:ascii="宋体" w:hAnsi="宋体"/>
                <w:kern w:val="0"/>
                <w:sz w:val="24"/>
                <w:szCs w:val="24"/>
              </w:rPr>
            </w:pPr>
            <w:bookmarkStart w:id="6" w:name="_Toc491862092"/>
            <w:r>
              <w:rPr>
                <w:rFonts w:hint="eastAsia" w:ascii="宋体" w:hAnsi="宋体"/>
                <w:kern w:val="0"/>
                <w:sz w:val="24"/>
                <w:szCs w:val="24"/>
              </w:rPr>
              <w:t>质保期</w:t>
            </w:r>
            <w:bookmarkEnd w:id="6"/>
          </w:p>
        </w:tc>
        <w:tc>
          <w:tcPr>
            <w:tcW w:w="6158" w:type="dxa"/>
            <w:vAlign w:val="center"/>
          </w:tcPr>
          <w:p>
            <w:pPr>
              <w:pStyle w:val="10"/>
              <w:ind w:firstLine="0" w:firstLineChars="0"/>
              <w:rPr>
                <w:rFonts w:ascii="宋体" w:hAnsi="宋体"/>
                <w:kern w:val="0"/>
                <w:sz w:val="24"/>
                <w:szCs w:val="24"/>
              </w:rPr>
            </w:pPr>
            <w:bookmarkStart w:id="7" w:name="_Toc491862093"/>
            <w:r>
              <w:rPr>
                <w:rFonts w:hint="eastAsia" w:ascii="宋体" w:hAnsi="宋体"/>
                <w:kern w:val="0"/>
                <w:sz w:val="24"/>
                <w:szCs w:val="24"/>
                <w:lang w:val="en-US" w:eastAsia="zh-CN"/>
              </w:rPr>
              <w:t>3</w:t>
            </w:r>
            <w:r>
              <w:rPr>
                <w:rFonts w:hint="eastAsia" w:ascii="宋体" w:hAnsi="宋体"/>
                <w:kern w:val="0"/>
                <w:sz w:val="24"/>
                <w:szCs w:val="24"/>
              </w:rPr>
              <w:t>年。</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364" w:type="dxa"/>
            <w:vAlign w:val="center"/>
          </w:tcPr>
          <w:p>
            <w:pPr>
              <w:pStyle w:val="10"/>
              <w:ind w:firstLine="0" w:firstLineChars="0"/>
              <w:jc w:val="center"/>
              <w:rPr>
                <w:rFonts w:ascii="宋体" w:hAnsi="宋体"/>
                <w:kern w:val="0"/>
                <w:sz w:val="24"/>
                <w:szCs w:val="24"/>
              </w:rPr>
            </w:pPr>
            <w:bookmarkStart w:id="8" w:name="_Toc491862095"/>
            <w:r>
              <w:rPr>
                <w:rFonts w:hint="eastAsia" w:ascii="宋体" w:hAnsi="宋体"/>
                <w:kern w:val="0"/>
                <w:sz w:val="24"/>
                <w:szCs w:val="24"/>
              </w:rPr>
              <w:t>付款方式</w:t>
            </w:r>
            <w:bookmarkEnd w:id="8"/>
          </w:p>
        </w:tc>
        <w:tc>
          <w:tcPr>
            <w:tcW w:w="6158" w:type="dxa"/>
            <w:vAlign w:val="center"/>
          </w:tcPr>
          <w:p>
            <w:pPr>
              <w:pStyle w:val="10"/>
              <w:ind w:firstLine="0" w:firstLineChars="0"/>
              <w:rPr>
                <w:rFonts w:ascii="宋体" w:hAnsi="宋体"/>
                <w:kern w:val="0"/>
                <w:sz w:val="24"/>
                <w:szCs w:val="24"/>
              </w:rPr>
            </w:pPr>
            <w:r>
              <w:rPr>
                <w:rFonts w:hint="eastAsia" w:ascii="宋体" w:hAnsi="宋体"/>
                <w:kern w:val="0"/>
                <w:sz w:val="24"/>
                <w:szCs w:val="24"/>
              </w:rPr>
              <w:t>1）甲方在设备安装调试验收合格正常使用后，支付总货款的</w:t>
            </w:r>
            <w:r>
              <w:rPr>
                <w:rFonts w:hint="eastAsia" w:ascii="宋体" w:hAnsi="宋体"/>
                <w:kern w:val="0"/>
                <w:sz w:val="24"/>
                <w:szCs w:val="24"/>
                <w:lang w:val="en-US" w:eastAsia="zh-CN"/>
              </w:rPr>
              <w:t>60</w:t>
            </w:r>
            <w:r>
              <w:rPr>
                <w:rFonts w:hint="eastAsia" w:ascii="宋体" w:hAnsi="宋体"/>
                <w:kern w:val="0"/>
                <w:sz w:val="24"/>
                <w:szCs w:val="24"/>
              </w:rPr>
              <w:t>%，</w:t>
            </w:r>
            <w:r>
              <w:rPr>
                <w:rFonts w:hint="eastAsia" w:ascii="宋体" w:hAnsi="宋体"/>
                <w:kern w:val="0"/>
                <w:sz w:val="24"/>
                <w:szCs w:val="24"/>
                <w:lang w:val="en-US" w:eastAsia="zh-CN"/>
              </w:rPr>
              <w:t>使用一年后支付总货款的30%</w:t>
            </w:r>
            <w:r>
              <w:rPr>
                <w:rFonts w:hint="eastAsia" w:ascii="宋体" w:hAnsi="宋体"/>
                <w:kern w:val="0"/>
                <w:sz w:val="24"/>
                <w:szCs w:val="24"/>
              </w:rPr>
              <w:t>（质保金除外）；</w:t>
            </w:r>
          </w:p>
          <w:p>
            <w:pPr>
              <w:pStyle w:val="10"/>
              <w:ind w:firstLine="0" w:firstLineChars="0"/>
              <w:rPr>
                <w:rFonts w:ascii="宋体" w:hAnsi="宋体"/>
                <w:kern w:val="0"/>
                <w:sz w:val="24"/>
                <w:szCs w:val="24"/>
              </w:rPr>
            </w:pPr>
            <w:r>
              <w:rPr>
                <w:rFonts w:hint="eastAsia" w:ascii="宋体" w:hAnsi="宋体"/>
                <w:kern w:val="0"/>
                <w:sz w:val="24"/>
                <w:szCs w:val="24"/>
              </w:rPr>
              <w:t>2）质保金为总金额的10%，待质保期到期后若未发生质量等问题一次性付清。</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hAnsi="宋体"/>
          <w:b/>
          <w:bCs/>
          <w:sz w:val="24"/>
          <w:szCs w:val="24"/>
        </w:rPr>
      </w:pPr>
      <w:r>
        <w:rPr>
          <w:rFonts w:hint="eastAsia" w:hAnsi="宋体"/>
          <w:b/>
          <w:bCs/>
          <w:sz w:val="24"/>
          <w:szCs w:val="24"/>
        </w:rPr>
        <w:t>技术标准与要求：</w:t>
      </w:r>
    </w:p>
    <w:tbl>
      <w:tblPr>
        <w:tblStyle w:val="7"/>
        <w:tblW w:w="8503" w:type="dxa"/>
        <w:tblInd w:w="0" w:type="dxa"/>
        <w:tblLayout w:type="fixed"/>
        <w:tblCellMar>
          <w:top w:w="0" w:type="dxa"/>
          <w:left w:w="108" w:type="dxa"/>
          <w:bottom w:w="0" w:type="dxa"/>
          <w:right w:w="108" w:type="dxa"/>
        </w:tblCellMar>
      </w:tblPr>
      <w:tblGrid>
        <w:gridCol w:w="8503"/>
      </w:tblGrid>
      <w:tr>
        <w:tblPrEx>
          <w:tblCellMar>
            <w:top w:w="0" w:type="dxa"/>
            <w:left w:w="108" w:type="dxa"/>
            <w:bottom w:w="0" w:type="dxa"/>
            <w:right w:w="108" w:type="dxa"/>
          </w:tblCellMar>
        </w:tblPrEx>
        <w:trPr>
          <w:trHeight w:val="365" w:hRule="atLeast"/>
        </w:trPr>
        <w:tc>
          <w:tcPr>
            <w:tcW w:w="850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sz w:val="24"/>
                <w:szCs w:val="24"/>
                <w:u w:val="single"/>
                <w:lang w:eastAsia="zh-CN"/>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eastAsia="zh-CN"/>
              </w:rPr>
              <w:t>本项目包含</w:t>
            </w:r>
            <w:r>
              <w:rPr>
                <w:rFonts w:hint="eastAsia" w:ascii="宋体" w:hAnsi="宋体"/>
                <w:sz w:val="24"/>
                <w:szCs w:val="24"/>
                <w:u w:val="single"/>
                <w:lang w:val="en-US" w:eastAsia="zh-CN"/>
              </w:rPr>
              <w:t>1台组织脱水机，用于康部病理科，属急需设备</w:t>
            </w:r>
            <w:r>
              <w:rPr>
                <w:rFonts w:hint="eastAsia" w:ascii="宋体" w:hAnsi="宋体"/>
                <w:sz w:val="24"/>
                <w:szCs w:val="24"/>
                <w:u w:val="single"/>
                <w:lang w:eastAsia="zh-CN"/>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lang w:val="en-US" w:eastAsia="zh-CN"/>
                    </w:rPr>
                    <w:t>组织脱水机</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台</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1</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组织脱水机</w:t>
            </w:r>
            <w:r>
              <w:rPr>
                <w:rFonts w:hint="eastAsia" w:ascii="宋体" w:hAnsi="宋体" w:cs="宋体"/>
                <w:sz w:val="24"/>
                <w:szCs w:val="24"/>
                <w:u w:val="single"/>
              </w:rPr>
              <w:t xml:space="preserve"> </w:t>
            </w:r>
            <w:r>
              <w:rPr>
                <w:rFonts w:hint="eastAsia" w:ascii="宋体" w:hAnsi="宋体" w:cs="宋体"/>
                <w:sz w:val="24"/>
                <w:szCs w:val="24"/>
              </w:rPr>
              <w:t>。</w:t>
            </w:r>
          </w:p>
          <w:tbl>
            <w:tblPr>
              <w:tblStyle w:val="7"/>
              <w:tblW w:w="9215" w:type="dxa"/>
              <w:tblInd w:w="-318" w:type="dxa"/>
              <w:tblLayout w:type="fixed"/>
              <w:tblCellMar>
                <w:top w:w="0" w:type="dxa"/>
                <w:left w:w="108" w:type="dxa"/>
                <w:bottom w:w="0" w:type="dxa"/>
                <w:right w:w="108" w:type="dxa"/>
              </w:tblCellMar>
            </w:tblPr>
            <w:tblGrid>
              <w:gridCol w:w="813"/>
              <w:gridCol w:w="738"/>
              <w:gridCol w:w="7664"/>
            </w:tblGrid>
            <w:tr>
              <w:tblPrEx>
                <w:tblCellMar>
                  <w:top w:w="0" w:type="dxa"/>
                  <w:left w:w="108" w:type="dxa"/>
                  <w:bottom w:w="0" w:type="dxa"/>
                  <w:right w:w="108" w:type="dxa"/>
                </w:tblCellMar>
              </w:tblPrEx>
              <w:trPr>
                <w:trHeight w:val="212"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rPr>
                  </w:pPr>
                  <w:r>
                    <w:rPr>
                      <w:rFonts w:hint="eastAsia" w:ascii="宋体" w:hAnsi="宋体" w:eastAsia="宋体" w:cs="宋体"/>
                      <w:szCs w:val="21"/>
                    </w:rPr>
                    <w:t>参数性质</w:t>
                  </w: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szCs w:val="21"/>
                    </w:rPr>
                  </w:pPr>
                  <w:r>
                    <w:rPr>
                      <w:rFonts w:hint="eastAsia" w:ascii="宋体" w:hAnsi="宋体" w:eastAsia="宋体" w:cs="宋体"/>
                      <w:szCs w:val="21"/>
                    </w:rPr>
                    <w:t>编号</w:t>
                  </w:r>
                </w:p>
              </w:tc>
              <w:tc>
                <w:tcPr>
                  <w:tcW w:w="766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szCs w:val="21"/>
                    </w:rPr>
                  </w:pPr>
                  <w:r>
                    <w:rPr>
                      <w:rFonts w:hint="eastAsia" w:ascii="宋体" w:hAnsi="宋体" w:eastAsia="宋体" w:cs="宋体"/>
                      <w:szCs w:val="21"/>
                    </w:rPr>
                    <w:t>技术参数和性能指标</w:t>
                  </w:r>
                </w:p>
              </w:tc>
            </w:tr>
            <w:tr>
              <w:tblPrEx>
                <w:tblCellMar>
                  <w:top w:w="0" w:type="dxa"/>
                  <w:left w:w="108" w:type="dxa"/>
                  <w:bottom w:w="0" w:type="dxa"/>
                  <w:right w:w="108" w:type="dxa"/>
                </w:tblCellMar>
              </w:tblPrEx>
              <w:trPr>
                <w:trHeight w:val="401"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szCs w:val="21"/>
                      <w:lang w:bidi="lo-LA"/>
                    </w:rPr>
                    <w:t>*</w:t>
                  </w: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1</w:t>
                  </w:r>
                </w:p>
              </w:tc>
              <w:tc>
                <w:tcPr>
                  <w:tcW w:w="7664"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lang w:bidi="lo-LA"/>
                    </w:rPr>
                  </w:pPr>
                  <w:r>
                    <w:rPr>
                      <w:rFonts w:hint="eastAsia" w:ascii="宋体" w:hAnsi="宋体" w:eastAsia="宋体" w:cs="宋体"/>
                      <w:szCs w:val="21"/>
                    </w:rPr>
                    <w:t>脱水机容量：每次最大处理容量，有序排放≥300个包埋盒。</w:t>
                  </w:r>
                </w:p>
              </w:tc>
            </w:tr>
            <w:tr>
              <w:tblPrEx>
                <w:tblCellMar>
                  <w:top w:w="0" w:type="dxa"/>
                  <w:left w:w="108" w:type="dxa"/>
                  <w:bottom w:w="0" w:type="dxa"/>
                  <w:right w:w="108" w:type="dxa"/>
                </w:tblCellMar>
              </w:tblPrEx>
              <w:trPr>
                <w:trHeight w:val="365"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2</w:t>
                  </w:r>
                </w:p>
              </w:tc>
              <w:tc>
                <w:tcPr>
                  <w:tcW w:w="7664"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lang w:bidi="lo-LA"/>
                    </w:rPr>
                  </w:pPr>
                  <w:r>
                    <w:rPr>
                      <w:rFonts w:hint="eastAsia" w:ascii="宋体" w:hAnsi="宋体" w:eastAsia="宋体" w:cs="宋体"/>
                      <w:szCs w:val="21"/>
                    </w:rPr>
                    <w:t>石蜡温度范围：40-70℃（每1℃可调）。</w:t>
                  </w:r>
                </w:p>
              </w:tc>
            </w:tr>
            <w:tr>
              <w:tblPrEx>
                <w:tblCellMar>
                  <w:top w:w="0" w:type="dxa"/>
                  <w:left w:w="108" w:type="dxa"/>
                  <w:bottom w:w="0" w:type="dxa"/>
                  <w:right w:w="108" w:type="dxa"/>
                </w:tblCellMar>
              </w:tblPrEx>
              <w:trPr>
                <w:trHeight w:val="365"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3</w:t>
                  </w:r>
                </w:p>
              </w:tc>
              <w:tc>
                <w:tcPr>
                  <w:tcW w:w="7664"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szCs w:val="21"/>
                    </w:rPr>
                  </w:pPr>
                  <w:r>
                    <w:rPr>
                      <w:rFonts w:hint="eastAsia" w:ascii="宋体" w:hAnsi="宋体" w:eastAsia="宋体" w:cs="宋体"/>
                      <w:szCs w:val="21"/>
                    </w:rPr>
                    <w:t>试剂温度范围：环境温度，35℃-50℃。</w:t>
                  </w:r>
                </w:p>
              </w:tc>
            </w:tr>
            <w:tr>
              <w:tblPrEx>
                <w:tblCellMar>
                  <w:top w:w="0" w:type="dxa"/>
                  <w:left w:w="108" w:type="dxa"/>
                  <w:bottom w:w="0" w:type="dxa"/>
                  <w:right w:w="108" w:type="dxa"/>
                </w:tblCellMar>
              </w:tblPrEx>
              <w:trPr>
                <w:trHeight w:val="365"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4</w:t>
                  </w:r>
                </w:p>
              </w:tc>
              <w:tc>
                <w:tcPr>
                  <w:tcW w:w="7664" w:type="dxa"/>
                  <w:tcBorders>
                    <w:top w:val="single" w:color="auto" w:sz="4" w:space="0"/>
                    <w:left w:val="nil"/>
                    <w:bottom w:val="single" w:color="auto" w:sz="4" w:space="0"/>
                    <w:right w:val="single" w:color="auto" w:sz="4" w:space="0"/>
                  </w:tcBorders>
                  <w:vAlign w:val="center"/>
                </w:tcPr>
                <w:p>
                  <w:pPr>
                    <w:tabs>
                      <w:tab w:val="left" w:pos="648"/>
                      <w:tab w:val="left" w:pos="3348"/>
                      <w:tab w:val="left" w:pos="6513"/>
                    </w:tabs>
                    <w:ind w:left="630" w:hanging="630" w:hangingChars="300"/>
                    <w:jc w:val="left"/>
                    <w:rPr>
                      <w:rFonts w:ascii="宋体" w:hAnsi="宋体" w:eastAsia="宋体" w:cs="宋体"/>
                      <w:szCs w:val="21"/>
                    </w:rPr>
                  </w:pPr>
                  <w:r>
                    <w:rPr>
                      <w:rFonts w:hint="eastAsia" w:ascii="宋体" w:hAnsi="宋体" w:eastAsia="宋体" w:cs="宋体"/>
                      <w:szCs w:val="21"/>
                    </w:rPr>
                    <w:t>石蜡缸数量/结构：至少4个可拆卸式不锈钢石蜡缸，方便清洁石蜡缸和更换石蜡。</w:t>
                  </w:r>
                </w:p>
              </w:tc>
            </w:tr>
            <w:tr>
              <w:tblPrEx>
                <w:tblCellMar>
                  <w:top w:w="0" w:type="dxa"/>
                  <w:left w:w="108" w:type="dxa"/>
                  <w:bottom w:w="0" w:type="dxa"/>
                  <w:right w:w="108" w:type="dxa"/>
                </w:tblCellMar>
              </w:tblPrEx>
              <w:trPr>
                <w:trHeight w:val="365"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5</w:t>
                  </w:r>
                </w:p>
              </w:tc>
              <w:tc>
                <w:tcPr>
                  <w:tcW w:w="7664"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szCs w:val="21"/>
                    </w:rPr>
                  </w:pPr>
                  <w:r>
                    <w:rPr>
                      <w:rFonts w:hint="eastAsia" w:ascii="宋体" w:hAnsi="宋体" w:eastAsia="宋体" w:cs="宋体"/>
                      <w:szCs w:val="21"/>
                    </w:rPr>
                    <w:t>石蜡缸容量：4.</w:t>
                  </w:r>
                  <w:r>
                    <w:rPr>
                      <w:rFonts w:ascii="宋体" w:hAnsi="宋体" w:eastAsia="宋体" w:cs="宋体"/>
                      <w:szCs w:val="21"/>
                    </w:rPr>
                    <w:t>0</w:t>
                  </w:r>
                  <w:r>
                    <w:rPr>
                      <w:rFonts w:hint="eastAsia" w:ascii="宋体" w:hAnsi="宋体" w:eastAsia="宋体" w:cs="宋体"/>
                      <w:szCs w:val="21"/>
                    </w:rPr>
                    <w:t>-5.6升。</w:t>
                  </w:r>
                </w:p>
              </w:tc>
            </w:tr>
            <w:tr>
              <w:tblPrEx>
                <w:tblCellMar>
                  <w:top w:w="0" w:type="dxa"/>
                  <w:left w:w="108" w:type="dxa"/>
                  <w:bottom w:w="0" w:type="dxa"/>
                  <w:right w:w="108" w:type="dxa"/>
                </w:tblCellMar>
              </w:tblPrEx>
              <w:trPr>
                <w:trHeight w:val="365"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6</w:t>
                  </w:r>
                </w:p>
              </w:tc>
              <w:tc>
                <w:tcPr>
                  <w:tcW w:w="7664"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szCs w:val="21"/>
                    </w:rPr>
                  </w:pPr>
                  <w:r>
                    <w:rPr>
                      <w:rFonts w:hint="eastAsia" w:ascii="宋体" w:hAnsi="宋体" w:eastAsia="宋体" w:cs="宋体"/>
                      <w:szCs w:val="21"/>
                    </w:rPr>
                    <w:t>组织处理程序/组织处理药液名称：组织处理程序≥50个，药液名≥100个。</w:t>
                  </w:r>
                </w:p>
              </w:tc>
            </w:tr>
            <w:tr>
              <w:tblPrEx>
                <w:tblCellMar>
                  <w:top w:w="0" w:type="dxa"/>
                  <w:left w:w="108" w:type="dxa"/>
                  <w:bottom w:w="0" w:type="dxa"/>
                  <w:right w:w="108" w:type="dxa"/>
                </w:tblCellMar>
              </w:tblPrEx>
              <w:trPr>
                <w:trHeight w:val="365"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7</w:t>
                  </w:r>
                </w:p>
              </w:tc>
              <w:tc>
                <w:tcPr>
                  <w:tcW w:w="7664"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szCs w:val="21"/>
                    </w:rPr>
                  </w:pPr>
                  <w:r>
                    <w:rPr>
                      <w:rFonts w:hint="eastAsia" w:ascii="宋体" w:hAnsi="宋体" w:eastAsia="宋体" w:cs="宋体"/>
                      <w:szCs w:val="21"/>
                    </w:rPr>
                    <w:t>组织处理室内压力要求：正压≥+35Kpa、负压≤-7</w:t>
                  </w:r>
                  <w:r>
                    <w:rPr>
                      <w:rFonts w:ascii="宋体" w:hAnsi="宋体" w:eastAsia="宋体" w:cs="宋体"/>
                      <w:szCs w:val="21"/>
                    </w:rPr>
                    <w:t>0</w:t>
                  </w:r>
                  <w:r>
                    <w:rPr>
                      <w:rFonts w:hint="eastAsia" w:ascii="宋体" w:hAnsi="宋体" w:eastAsia="宋体" w:cs="宋体"/>
                      <w:szCs w:val="21"/>
                    </w:rPr>
                    <w:t>Kpa。</w:t>
                  </w:r>
                </w:p>
              </w:tc>
            </w:tr>
            <w:tr>
              <w:tblPrEx>
                <w:tblCellMar>
                  <w:top w:w="0" w:type="dxa"/>
                  <w:left w:w="108" w:type="dxa"/>
                  <w:bottom w:w="0" w:type="dxa"/>
                  <w:right w:w="108" w:type="dxa"/>
                </w:tblCellMar>
              </w:tblPrEx>
              <w:trPr>
                <w:trHeight w:val="365"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8</w:t>
                  </w:r>
                </w:p>
              </w:tc>
              <w:tc>
                <w:tcPr>
                  <w:tcW w:w="7664"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szCs w:val="21"/>
                    </w:rPr>
                  </w:pPr>
                  <w:r>
                    <w:rPr>
                      <w:rFonts w:hint="eastAsia" w:ascii="宋体" w:hAnsi="宋体" w:eastAsia="宋体" w:cs="宋体"/>
                      <w:szCs w:val="21"/>
                    </w:rPr>
                    <w:t>组织处理室盖的要求：有加温装置，可防止冷凝水的产生和石蜡的凝结。</w:t>
                  </w:r>
                </w:p>
              </w:tc>
            </w:tr>
            <w:tr>
              <w:tblPrEx>
                <w:tblCellMar>
                  <w:top w:w="0" w:type="dxa"/>
                  <w:left w:w="108" w:type="dxa"/>
                  <w:bottom w:w="0" w:type="dxa"/>
                  <w:right w:w="108" w:type="dxa"/>
                </w:tblCellMar>
              </w:tblPrEx>
              <w:trPr>
                <w:trHeight w:val="365"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9</w:t>
                  </w:r>
                </w:p>
              </w:tc>
              <w:tc>
                <w:tcPr>
                  <w:tcW w:w="7664"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szCs w:val="21"/>
                    </w:rPr>
                  </w:pPr>
                  <w:r>
                    <w:rPr>
                      <w:rFonts w:hint="eastAsia" w:ascii="宋体" w:hAnsi="宋体" w:eastAsia="宋体" w:cs="宋体"/>
                      <w:szCs w:val="21"/>
                    </w:rPr>
                    <w:t>程序设置时间：0-99小时59分钟（每1分可调）。</w:t>
                  </w:r>
                </w:p>
              </w:tc>
            </w:tr>
            <w:tr>
              <w:tblPrEx>
                <w:tblCellMar>
                  <w:top w:w="0" w:type="dxa"/>
                  <w:left w:w="108" w:type="dxa"/>
                  <w:bottom w:w="0" w:type="dxa"/>
                  <w:right w:w="108" w:type="dxa"/>
                </w:tblCellMar>
              </w:tblPrEx>
              <w:trPr>
                <w:trHeight w:val="365"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10</w:t>
                  </w:r>
                </w:p>
              </w:tc>
              <w:tc>
                <w:tcPr>
                  <w:tcW w:w="7664"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szCs w:val="21"/>
                    </w:rPr>
                  </w:pPr>
                  <w:r>
                    <w:rPr>
                      <w:rFonts w:hint="eastAsia" w:ascii="宋体" w:hAnsi="宋体" w:eastAsia="宋体" w:cs="宋体"/>
                      <w:szCs w:val="21"/>
                    </w:rPr>
                    <w:t>处理组织药液试剂瓶数量/程序:试剂瓶≥10个，处理程序≥50个。</w:t>
                  </w:r>
                </w:p>
              </w:tc>
            </w:tr>
            <w:tr>
              <w:tblPrEx>
                <w:tblCellMar>
                  <w:top w:w="0" w:type="dxa"/>
                  <w:left w:w="108" w:type="dxa"/>
                  <w:bottom w:w="0" w:type="dxa"/>
                  <w:right w:w="108" w:type="dxa"/>
                </w:tblCellMar>
              </w:tblPrEx>
              <w:trPr>
                <w:trHeight w:val="365"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11</w:t>
                  </w:r>
                </w:p>
              </w:tc>
              <w:tc>
                <w:tcPr>
                  <w:tcW w:w="7664" w:type="dxa"/>
                  <w:tcBorders>
                    <w:top w:val="single" w:color="auto" w:sz="4" w:space="0"/>
                    <w:left w:val="nil"/>
                    <w:bottom w:val="single" w:color="auto" w:sz="4" w:space="0"/>
                    <w:right w:val="single" w:color="auto" w:sz="4" w:space="0"/>
                  </w:tcBorders>
                  <w:vAlign w:val="center"/>
                </w:tcPr>
                <w:p>
                  <w:pPr>
                    <w:tabs>
                      <w:tab w:val="left" w:pos="545"/>
                      <w:tab w:val="left" w:pos="3348"/>
                      <w:tab w:val="left" w:pos="6513"/>
                    </w:tabs>
                    <w:ind w:left="525" w:hanging="525" w:hangingChars="250"/>
                    <w:jc w:val="left"/>
                    <w:rPr>
                      <w:rFonts w:ascii="宋体" w:hAnsi="宋体" w:eastAsia="宋体" w:cs="宋体"/>
                      <w:szCs w:val="21"/>
                    </w:rPr>
                  </w:pPr>
                  <w:r>
                    <w:rPr>
                      <w:rFonts w:hint="eastAsia" w:ascii="宋体" w:hAnsi="宋体" w:eastAsia="宋体" w:cs="宋体"/>
                      <w:szCs w:val="21"/>
                    </w:rPr>
                    <w:t>处理组织药液试剂瓶容量设定：小容量设定2.</w:t>
                  </w:r>
                  <w:r>
                    <w:rPr>
                      <w:rFonts w:hint="eastAsia" w:ascii="宋体" w:hAnsi="宋体" w:eastAsia="宋体" w:cs="宋体"/>
                      <w:szCs w:val="21"/>
                      <w:lang w:val="en-US" w:eastAsia="zh-CN"/>
                    </w:rPr>
                    <w:t>5-3</w:t>
                  </w:r>
                  <w:r>
                    <w:rPr>
                      <w:rFonts w:hint="eastAsia" w:ascii="宋体" w:hAnsi="宋体" w:eastAsia="宋体" w:cs="宋体"/>
                      <w:szCs w:val="21"/>
                    </w:rPr>
                    <w:t>升，大容量设定</w:t>
                  </w:r>
                  <w:r>
                    <w:rPr>
                      <w:rFonts w:hint="eastAsia" w:ascii="宋体" w:hAnsi="宋体" w:eastAsia="宋体" w:cs="宋体"/>
                      <w:szCs w:val="21"/>
                      <w:lang w:val="en-US" w:eastAsia="zh-CN"/>
                    </w:rPr>
                    <w:t>3-</w:t>
                  </w:r>
                  <w:r>
                    <w:rPr>
                      <w:rFonts w:hint="eastAsia" w:ascii="宋体" w:hAnsi="宋体" w:eastAsia="宋体" w:cs="宋体"/>
                      <w:szCs w:val="21"/>
                    </w:rPr>
                    <w:t>3.5升，清</w:t>
                  </w:r>
                </w:p>
                <w:p>
                  <w:pPr>
                    <w:tabs>
                      <w:tab w:val="left" w:pos="545"/>
                      <w:tab w:val="left" w:pos="3348"/>
                      <w:tab w:val="left" w:pos="6513"/>
                    </w:tabs>
                    <w:ind w:left="525" w:hanging="525" w:hangingChars="250"/>
                    <w:jc w:val="left"/>
                    <w:rPr>
                      <w:rFonts w:ascii="宋体" w:hAnsi="宋体" w:eastAsia="宋体" w:cs="宋体"/>
                      <w:szCs w:val="21"/>
                    </w:rPr>
                  </w:pPr>
                  <w:r>
                    <w:rPr>
                      <w:rFonts w:hint="eastAsia" w:ascii="宋体" w:hAnsi="宋体" w:eastAsia="宋体" w:cs="宋体"/>
                      <w:szCs w:val="21"/>
                    </w:rPr>
                    <w:t>洗量设定</w:t>
                  </w:r>
                  <w:r>
                    <w:rPr>
                      <w:rFonts w:hint="eastAsia" w:ascii="宋体" w:hAnsi="宋体" w:eastAsia="宋体" w:cs="宋体"/>
                      <w:szCs w:val="21"/>
                      <w:lang w:val="en-US" w:eastAsia="zh-CN"/>
                    </w:rPr>
                    <w:t>4-</w:t>
                  </w:r>
                  <w:r>
                    <w:rPr>
                      <w:rFonts w:hint="eastAsia" w:ascii="宋体" w:hAnsi="宋体" w:eastAsia="宋体" w:cs="宋体"/>
                      <w:szCs w:val="21"/>
                    </w:rPr>
                    <w:t>4.</w:t>
                  </w:r>
                  <w:r>
                    <w:rPr>
                      <w:rFonts w:hint="eastAsia" w:ascii="宋体" w:hAnsi="宋体" w:eastAsia="宋体" w:cs="宋体"/>
                      <w:szCs w:val="21"/>
                      <w:lang w:val="en-US" w:eastAsia="zh-CN"/>
                    </w:rPr>
                    <w:t>5</w:t>
                  </w:r>
                  <w:r>
                    <w:rPr>
                      <w:rFonts w:hint="eastAsia" w:ascii="宋体" w:hAnsi="宋体" w:eastAsia="宋体" w:cs="宋体"/>
                      <w:szCs w:val="21"/>
                    </w:rPr>
                    <w:t>升。</w:t>
                  </w:r>
                </w:p>
              </w:tc>
            </w:tr>
            <w:tr>
              <w:tblPrEx>
                <w:tblCellMar>
                  <w:top w:w="0" w:type="dxa"/>
                  <w:left w:w="108" w:type="dxa"/>
                  <w:bottom w:w="0" w:type="dxa"/>
                  <w:right w:w="108" w:type="dxa"/>
                </w:tblCellMar>
              </w:tblPrEx>
              <w:trPr>
                <w:trHeight w:val="365"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12</w:t>
                  </w:r>
                </w:p>
              </w:tc>
              <w:tc>
                <w:tcPr>
                  <w:tcW w:w="7664" w:type="dxa"/>
                  <w:tcBorders>
                    <w:top w:val="single" w:color="auto" w:sz="4" w:space="0"/>
                    <w:left w:val="nil"/>
                    <w:bottom w:val="single" w:color="auto" w:sz="4" w:space="0"/>
                    <w:right w:val="single" w:color="auto" w:sz="4" w:space="0"/>
                  </w:tcBorders>
                  <w:vAlign w:val="center"/>
                </w:tcPr>
                <w:p>
                  <w:pPr>
                    <w:tabs>
                      <w:tab w:val="left" w:pos="648"/>
                      <w:tab w:val="left" w:pos="3348"/>
                      <w:tab w:val="left" w:pos="6513"/>
                    </w:tabs>
                    <w:jc w:val="left"/>
                    <w:rPr>
                      <w:rFonts w:ascii="宋体" w:hAnsi="宋体" w:eastAsia="宋体" w:cs="宋体"/>
                      <w:szCs w:val="21"/>
                    </w:rPr>
                  </w:pPr>
                  <w:r>
                    <w:rPr>
                      <w:rFonts w:hint="eastAsia" w:ascii="宋体" w:hAnsi="宋体" w:eastAsia="宋体" w:cs="宋体"/>
                      <w:szCs w:val="21"/>
                    </w:rPr>
                    <w:t>配备1个废蜡收集缸。</w:t>
                  </w:r>
                </w:p>
              </w:tc>
            </w:tr>
            <w:tr>
              <w:tblPrEx>
                <w:tblCellMar>
                  <w:top w:w="0" w:type="dxa"/>
                  <w:left w:w="108" w:type="dxa"/>
                  <w:bottom w:w="0" w:type="dxa"/>
                  <w:right w:w="108" w:type="dxa"/>
                </w:tblCellMar>
              </w:tblPrEx>
              <w:trPr>
                <w:trHeight w:val="365"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13</w:t>
                  </w:r>
                </w:p>
              </w:tc>
              <w:tc>
                <w:tcPr>
                  <w:tcW w:w="7664" w:type="dxa"/>
                  <w:tcBorders>
                    <w:top w:val="single" w:color="auto" w:sz="4" w:space="0"/>
                    <w:left w:val="nil"/>
                    <w:bottom w:val="single" w:color="auto" w:sz="4" w:space="0"/>
                    <w:right w:val="single" w:color="auto" w:sz="4" w:space="0"/>
                  </w:tcBorders>
                  <w:vAlign w:val="center"/>
                </w:tcPr>
                <w:p>
                  <w:pPr>
                    <w:tabs>
                      <w:tab w:val="left" w:pos="648"/>
                      <w:tab w:val="left" w:pos="2516"/>
                      <w:tab w:val="left" w:pos="6513"/>
                    </w:tabs>
                    <w:jc w:val="left"/>
                    <w:rPr>
                      <w:rFonts w:ascii="宋体" w:hAnsi="宋体" w:eastAsia="宋体" w:cs="宋体"/>
                      <w:szCs w:val="21"/>
                    </w:rPr>
                  </w:pPr>
                  <w:r>
                    <w:rPr>
                      <w:rFonts w:hint="eastAsia" w:ascii="宋体" w:hAnsi="宋体" w:eastAsia="宋体" w:cs="宋体"/>
                      <w:szCs w:val="21"/>
                    </w:rPr>
                    <w:t>清洁循环瓶：带加热二甲苯清洗瓶1个，酒精清洗瓶1个，冷凝液瓶1个。</w:t>
                  </w:r>
                </w:p>
              </w:tc>
            </w:tr>
            <w:tr>
              <w:tblPrEx>
                <w:tblCellMar>
                  <w:top w:w="0" w:type="dxa"/>
                  <w:left w:w="108" w:type="dxa"/>
                  <w:bottom w:w="0" w:type="dxa"/>
                  <w:right w:w="108" w:type="dxa"/>
                </w:tblCellMar>
              </w:tblPrEx>
              <w:trPr>
                <w:trHeight w:val="365"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14</w:t>
                  </w:r>
                </w:p>
              </w:tc>
              <w:tc>
                <w:tcPr>
                  <w:tcW w:w="7664"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szCs w:val="21"/>
                    </w:rPr>
                  </w:pPr>
                  <w:r>
                    <w:rPr>
                      <w:rFonts w:hint="eastAsia" w:ascii="宋体" w:hAnsi="宋体" w:eastAsia="宋体" w:cs="宋体"/>
                      <w:szCs w:val="21"/>
                    </w:rPr>
                    <w:t>试剂瓶接口连接自动检测：设备自动对所有试剂瓶接口快速检测，确保组织处理工作的顺利进行。</w:t>
                  </w:r>
                </w:p>
              </w:tc>
            </w:tr>
            <w:tr>
              <w:tblPrEx>
                <w:tblCellMar>
                  <w:top w:w="0" w:type="dxa"/>
                  <w:left w:w="108" w:type="dxa"/>
                  <w:bottom w:w="0" w:type="dxa"/>
                  <w:right w:w="108" w:type="dxa"/>
                </w:tblCellMar>
              </w:tblPrEx>
              <w:trPr>
                <w:trHeight w:val="365"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15</w:t>
                  </w:r>
                </w:p>
              </w:tc>
              <w:tc>
                <w:tcPr>
                  <w:tcW w:w="7664"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szCs w:val="21"/>
                    </w:rPr>
                  </w:pPr>
                  <w:r>
                    <w:rPr>
                      <w:rFonts w:hint="eastAsia" w:ascii="宋体" w:hAnsi="宋体" w:eastAsia="宋体" w:cs="宋体"/>
                      <w:szCs w:val="21"/>
                    </w:rPr>
                    <w:t>药液瓶液位照明：设有处理组织药液瓶液位显示照明功能，有两种颜色可选。</w:t>
                  </w:r>
                </w:p>
              </w:tc>
            </w:tr>
            <w:tr>
              <w:tblPrEx>
                <w:tblCellMar>
                  <w:top w:w="0" w:type="dxa"/>
                  <w:left w:w="108" w:type="dxa"/>
                  <w:bottom w:w="0" w:type="dxa"/>
                  <w:right w:w="108" w:type="dxa"/>
                </w:tblCellMar>
              </w:tblPrEx>
              <w:trPr>
                <w:trHeight w:val="365"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16</w:t>
                  </w:r>
                </w:p>
              </w:tc>
              <w:tc>
                <w:tcPr>
                  <w:tcW w:w="7664"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szCs w:val="21"/>
                    </w:rPr>
                  </w:pPr>
                  <w:r>
                    <w:rPr>
                      <w:rFonts w:hint="eastAsia" w:ascii="宋体" w:hAnsi="宋体" w:eastAsia="宋体" w:cs="宋体"/>
                      <w:szCs w:val="21"/>
                    </w:rPr>
                    <w:t>组织脱水缸：为不锈钢整体铸造而成，无焊接。</w:t>
                  </w:r>
                </w:p>
              </w:tc>
            </w:tr>
            <w:tr>
              <w:tblPrEx>
                <w:tblCellMar>
                  <w:top w:w="0" w:type="dxa"/>
                  <w:left w:w="108" w:type="dxa"/>
                  <w:bottom w:w="0" w:type="dxa"/>
                  <w:right w:w="108" w:type="dxa"/>
                </w:tblCellMar>
              </w:tblPrEx>
              <w:trPr>
                <w:trHeight w:val="365"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17</w:t>
                  </w:r>
                </w:p>
              </w:tc>
              <w:tc>
                <w:tcPr>
                  <w:tcW w:w="7664"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szCs w:val="21"/>
                    </w:rPr>
                  </w:pPr>
                  <w:r>
                    <w:rPr>
                      <w:rFonts w:hint="eastAsia" w:ascii="宋体" w:hAnsi="宋体" w:eastAsia="宋体" w:cs="宋体"/>
                      <w:szCs w:val="21"/>
                    </w:rPr>
                    <w:t>独立吸排液管道，减少污染，过滤试剂，处理应充分。</w:t>
                  </w:r>
                </w:p>
              </w:tc>
            </w:tr>
            <w:tr>
              <w:tblPrEx>
                <w:tblCellMar>
                  <w:top w:w="0" w:type="dxa"/>
                  <w:left w:w="108" w:type="dxa"/>
                  <w:bottom w:w="0" w:type="dxa"/>
                  <w:right w:w="108" w:type="dxa"/>
                </w:tblCellMar>
              </w:tblPrEx>
              <w:trPr>
                <w:trHeight w:val="467"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18</w:t>
                  </w:r>
                </w:p>
              </w:tc>
              <w:tc>
                <w:tcPr>
                  <w:tcW w:w="7664" w:type="dxa"/>
                  <w:tcBorders>
                    <w:top w:val="single" w:color="auto" w:sz="4" w:space="0"/>
                    <w:left w:val="nil"/>
                    <w:bottom w:val="single" w:color="auto" w:sz="4" w:space="0"/>
                    <w:right w:val="single" w:color="auto" w:sz="4" w:space="0"/>
                  </w:tcBorders>
                  <w:vAlign w:val="center"/>
                </w:tcPr>
                <w:p>
                  <w:pPr>
                    <w:tabs>
                      <w:tab w:val="left" w:pos="648"/>
                      <w:tab w:val="left" w:pos="3348"/>
                      <w:tab w:val="left" w:pos="6513"/>
                    </w:tabs>
                    <w:jc w:val="left"/>
                    <w:rPr>
                      <w:rFonts w:hint="eastAsia" w:ascii="宋体" w:hAnsi="宋体" w:eastAsia="宋体" w:cs="宋体"/>
                      <w:szCs w:val="21"/>
                      <w:lang w:val="en-US" w:eastAsia="zh-CN"/>
                    </w:rPr>
                  </w:pPr>
                  <w:r>
                    <w:rPr>
                      <w:rFonts w:hint="eastAsia" w:ascii="宋体" w:hAnsi="宋体" w:eastAsia="宋体" w:cs="宋体"/>
                      <w:szCs w:val="21"/>
                    </w:rPr>
                    <w:t>组织处理缸液位传感器要求：设有多段位水平液位监测传感器</w:t>
                  </w:r>
                  <w:r>
                    <w:rPr>
                      <w:rFonts w:hint="eastAsia" w:ascii="宋体" w:hAnsi="宋体" w:eastAsia="宋体" w:cs="宋体"/>
                      <w:szCs w:val="21"/>
                      <w:lang w:eastAsia="zh-CN"/>
                    </w:rPr>
                    <w:t>。</w:t>
                  </w:r>
                </w:p>
              </w:tc>
            </w:tr>
            <w:tr>
              <w:tblPrEx>
                <w:tblCellMar>
                  <w:top w:w="0" w:type="dxa"/>
                  <w:left w:w="108" w:type="dxa"/>
                  <w:bottom w:w="0" w:type="dxa"/>
                  <w:right w:w="108" w:type="dxa"/>
                </w:tblCellMar>
              </w:tblPrEx>
              <w:trPr>
                <w:trHeight w:val="365"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19</w:t>
                  </w:r>
                </w:p>
              </w:tc>
              <w:tc>
                <w:tcPr>
                  <w:tcW w:w="7664"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szCs w:val="21"/>
                    </w:rPr>
                  </w:pPr>
                  <w:r>
                    <w:rPr>
                      <w:rFonts w:hint="eastAsia" w:ascii="宋体" w:hAnsi="宋体" w:eastAsia="宋体" w:cs="宋体"/>
                      <w:szCs w:val="21"/>
                    </w:rPr>
                    <w:t>尾气处理：环保处理尾气，用双层活性碳进行吸附处理化学尾气。</w:t>
                  </w:r>
                </w:p>
              </w:tc>
            </w:tr>
            <w:tr>
              <w:tblPrEx>
                <w:tblCellMar>
                  <w:top w:w="0" w:type="dxa"/>
                  <w:left w:w="108" w:type="dxa"/>
                  <w:bottom w:w="0" w:type="dxa"/>
                  <w:right w:w="108" w:type="dxa"/>
                </w:tblCellMar>
              </w:tblPrEx>
              <w:trPr>
                <w:trHeight w:val="365"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20</w:t>
                  </w:r>
                </w:p>
              </w:tc>
              <w:tc>
                <w:tcPr>
                  <w:tcW w:w="7664"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szCs w:val="21"/>
                    </w:rPr>
                  </w:pPr>
                  <w:r>
                    <w:rPr>
                      <w:rFonts w:hint="eastAsia" w:ascii="宋体" w:hAnsi="宋体" w:eastAsia="宋体" w:cs="宋体"/>
                      <w:szCs w:val="21"/>
                    </w:rPr>
                    <w:t>操作显示器：不小于10英寸抗溶剂式中文彩色液晶触摸屏。</w:t>
                  </w:r>
                </w:p>
              </w:tc>
            </w:tr>
            <w:tr>
              <w:tblPrEx>
                <w:tblCellMar>
                  <w:top w:w="0" w:type="dxa"/>
                  <w:left w:w="108" w:type="dxa"/>
                  <w:bottom w:w="0" w:type="dxa"/>
                  <w:right w:w="108" w:type="dxa"/>
                </w:tblCellMar>
              </w:tblPrEx>
              <w:trPr>
                <w:trHeight w:val="365"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21</w:t>
                  </w:r>
                </w:p>
              </w:tc>
              <w:tc>
                <w:tcPr>
                  <w:tcW w:w="7664" w:type="dxa"/>
                  <w:tcBorders>
                    <w:top w:val="single" w:color="auto" w:sz="4" w:space="0"/>
                    <w:left w:val="nil"/>
                    <w:bottom w:val="single" w:color="auto" w:sz="4" w:space="0"/>
                    <w:right w:val="single" w:color="auto" w:sz="4" w:space="0"/>
                  </w:tcBorders>
                  <w:vAlign w:val="center"/>
                </w:tcPr>
                <w:p>
                  <w:pPr>
                    <w:tabs>
                      <w:tab w:val="left" w:pos="535"/>
                      <w:tab w:val="left" w:pos="3348"/>
                      <w:tab w:val="left" w:pos="6513"/>
                    </w:tabs>
                    <w:jc w:val="left"/>
                    <w:rPr>
                      <w:rFonts w:ascii="宋体" w:hAnsi="宋体" w:eastAsia="宋体" w:cs="宋体"/>
                      <w:szCs w:val="21"/>
                    </w:rPr>
                  </w:pPr>
                  <w:r>
                    <w:rPr>
                      <w:rFonts w:hint="eastAsia" w:ascii="宋体" w:hAnsi="宋体" w:eastAsia="宋体" w:cs="宋体"/>
                      <w:szCs w:val="21"/>
                    </w:rPr>
                    <w:t>试剂管理系统：可自动更换酒精及二甲苯组织处理药液，并管理组织处理药液的使用次数。</w:t>
                  </w:r>
                  <w:r>
                    <w:rPr>
                      <w:rFonts w:hint="eastAsia" w:ascii="宋体" w:hAnsi="宋体" w:eastAsia="宋体" w:cs="宋体"/>
                      <w:szCs w:val="21"/>
                    </w:rPr>
                    <w:tab/>
                  </w:r>
                </w:p>
              </w:tc>
            </w:tr>
            <w:tr>
              <w:tblPrEx>
                <w:tblCellMar>
                  <w:top w:w="0" w:type="dxa"/>
                  <w:left w:w="108" w:type="dxa"/>
                  <w:bottom w:w="0" w:type="dxa"/>
                  <w:right w:w="108" w:type="dxa"/>
                </w:tblCellMar>
              </w:tblPrEx>
              <w:trPr>
                <w:trHeight w:val="365" w:hRule="atLeast"/>
              </w:trPr>
              <w:tc>
                <w:tcPr>
                  <w:tcW w:w="8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lang w:bidi="lo-LA"/>
                    </w:rPr>
                  </w:pPr>
                </w:p>
              </w:tc>
              <w:tc>
                <w:tcPr>
                  <w:tcW w:w="73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lang w:bidi="lo-LA"/>
                    </w:rPr>
                  </w:pPr>
                  <w:r>
                    <w:rPr>
                      <w:rFonts w:hint="eastAsia" w:ascii="宋体" w:hAnsi="宋体" w:eastAsia="宋体" w:cs="宋体"/>
                      <w:kern w:val="0"/>
                      <w:szCs w:val="21"/>
                      <w:lang w:bidi="lo-LA"/>
                    </w:rPr>
                    <w:t>22</w:t>
                  </w:r>
                </w:p>
              </w:tc>
              <w:tc>
                <w:tcPr>
                  <w:tcW w:w="7664" w:type="dxa"/>
                  <w:tcBorders>
                    <w:top w:val="single" w:color="auto" w:sz="4" w:space="0"/>
                    <w:left w:val="nil"/>
                    <w:bottom w:val="single" w:color="auto" w:sz="4" w:space="0"/>
                    <w:right w:val="single" w:color="auto" w:sz="4" w:space="0"/>
                  </w:tcBorders>
                  <w:vAlign w:val="center"/>
                </w:tcPr>
                <w:p>
                  <w:pPr>
                    <w:tabs>
                      <w:tab w:val="left" w:pos="535"/>
                      <w:tab w:val="left" w:pos="3348"/>
                      <w:tab w:val="left" w:pos="6513"/>
                    </w:tabs>
                    <w:jc w:val="left"/>
                    <w:rPr>
                      <w:rFonts w:ascii="宋体" w:hAnsi="宋体" w:eastAsia="宋体" w:cs="宋体"/>
                      <w:szCs w:val="21"/>
                    </w:rPr>
                  </w:pPr>
                  <w:r>
                    <w:rPr>
                      <w:rFonts w:hint="eastAsia" w:ascii="宋体" w:hAnsi="宋体" w:eastAsia="宋体" w:cs="宋体"/>
                      <w:szCs w:val="21"/>
                    </w:rPr>
                    <w:t>试剂补偿功能：试剂不足时，可从邻近相同递进试剂或备用试剂缸吸收试剂，保证脱水过程完成。</w:t>
                  </w:r>
                </w:p>
              </w:tc>
            </w:tr>
          </w:tbl>
          <w:p>
            <w:pPr>
              <w:widowControl/>
              <w:spacing w:line="240" w:lineRule="auto"/>
              <w:jc w:val="left"/>
              <w:rPr>
                <w:rFonts w:hint="eastAsia" w:ascii="宋体" w:hAnsi="宋体" w:cs="宋体"/>
                <w:b/>
                <w:bCs/>
                <w:color w:val="FF0000"/>
                <w:sz w:val="21"/>
                <w:szCs w:val="21"/>
                <w:lang w:val="en-US" w:eastAsia="zh-CN"/>
              </w:rPr>
            </w:pPr>
            <w:r>
              <w:rPr>
                <w:rFonts w:hint="eastAsia" w:ascii="宋体" w:hAnsi="宋体" w:eastAsia="宋体" w:cs="宋体"/>
                <w:b/>
                <w:bCs/>
                <w:color w:val="FF0000"/>
                <w:kern w:val="0"/>
                <w:sz w:val="21"/>
                <w:szCs w:val="21"/>
              </w:rPr>
              <w:t>注</w:t>
            </w:r>
            <w:r>
              <w:rPr>
                <w:rFonts w:hint="eastAsia" w:ascii="宋体" w:hAnsi="宋体" w:cs="宋体"/>
                <w:b/>
                <w:bCs/>
                <w:color w:val="FF0000"/>
                <w:sz w:val="21"/>
                <w:szCs w:val="21"/>
                <w:lang w:val="en-US" w:eastAsia="zh-CN"/>
              </w:rPr>
              <w:t>：1.“参数性质”标“*”表示此参数为主要技术参数，不满足任意1条即取消投标资格。</w:t>
            </w:r>
          </w:p>
          <w:p>
            <w:pPr>
              <w:widowControl/>
              <w:spacing w:line="240" w:lineRule="auto"/>
              <w:jc w:val="left"/>
              <w:rPr>
                <w:rFonts w:hint="eastAsia" w:ascii="宋体" w:hAnsi="宋体" w:eastAsia="宋体" w:cs="宋体"/>
                <w:kern w:val="0"/>
                <w:sz w:val="21"/>
                <w:szCs w:val="21"/>
                <w:lang w:val="en-US" w:eastAsia="zh-CN"/>
              </w:rPr>
            </w:pPr>
            <w:r>
              <w:rPr>
                <w:rFonts w:hint="eastAsia" w:ascii="宋体" w:hAnsi="宋体" w:cs="宋体"/>
                <w:b/>
                <w:bCs/>
                <w:color w:val="FF0000"/>
                <w:sz w:val="21"/>
                <w:szCs w:val="21"/>
                <w:lang w:val="en-US" w:eastAsia="zh-CN"/>
              </w:rPr>
              <w:t>2.非主要技术参数≥4条不满足，取消投标资格。</w:t>
            </w:r>
            <w:r>
              <w:rPr>
                <w:rFonts w:hint="eastAsia" w:ascii="宋体" w:hAnsi="宋体" w:eastAsia="宋体" w:cs="宋体"/>
                <w:b/>
                <w:bCs/>
                <w:color w:val="FF0000"/>
                <w:kern w:val="0"/>
                <w:sz w:val="21"/>
                <w:szCs w:val="21"/>
                <w:lang w:val="en-US" w:eastAsia="zh-CN" w:bidi="ar"/>
              </w:rPr>
              <w:t>另发现有虚假应标情况，将记入我院黑名单目录。</w:t>
            </w:r>
          </w:p>
        </w:tc>
      </w:tr>
    </w:tbl>
    <w:p>
      <w:pPr>
        <w:numPr>
          <w:ilvl w:val="0"/>
          <w:numId w:val="0"/>
        </w:numPr>
        <w:spacing w:line="360" w:lineRule="auto"/>
        <w:jc w:val="left"/>
        <w:rPr>
          <w:rFonts w:hint="eastAsia" w:hAnsi="宋体"/>
          <w:sz w:val="24"/>
          <w:szCs w:val="24"/>
        </w:rPr>
      </w:pPr>
    </w:p>
    <w:p>
      <w:pPr>
        <w:spacing w:line="360" w:lineRule="auto"/>
        <w:ind w:firstLine="482" w:firstLineChars="200"/>
        <w:rPr>
          <w:rFonts w:asciiTheme="minorEastAsia" w:hAnsiTheme="minorEastAsia"/>
          <w:b/>
          <w:bCs/>
          <w:sz w:val="24"/>
          <w:szCs w:val="24"/>
        </w:rPr>
      </w:pPr>
      <w:r>
        <w:rPr>
          <w:rFonts w:hint="eastAsia" w:asciiTheme="minorEastAsia" w:hAnsiTheme="minorEastAsia"/>
          <w:b/>
          <w:bCs/>
          <w:sz w:val="24"/>
          <w:szCs w:val="24"/>
        </w:rPr>
        <w:t>三、供应商资质资格要求</w:t>
      </w:r>
    </w:p>
    <w:p>
      <w:pPr>
        <w:spacing w:line="360" w:lineRule="auto"/>
        <w:ind w:firstLine="440" w:firstLineChars="200"/>
        <w:rPr>
          <w:rFonts w:ascii="宋体" w:hAnsi="宋体"/>
          <w:sz w:val="22"/>
          <w:szCs w:val="22"/>
        </w:rPr>
      </w:pPr>
      <w:r>
        <w:rPr>
          <w:rFonts w:hint="eastAsia" w:ascii="宋体" w:hAnsi="宋体"/>
          <w:sz w:val="22"/>
          <w:szCs w:val="22"/>
        </w:rPr>
        <w:t>1.投标人</w:t>
      </w:r>
      <w:r>
        <w:rPr>
          <w:rFonts w:hint="eastAsia" w:ascii="宋体" w:hAnsi="宋体"/>
          <w:color w:val="000000"/>
          <w:sz w:val="22"/>
          <w:szCs w:val="22"/>
        </w:rPr>
        <w:t>须</w:t>
      </w:r>
      <w:r>
        <w:rPr>
          <w:rFonts w:hint="eastAsia" w:ascii="宋体" w:hAnsi="宋体"/>
          <w:sz w:val="22"/>
          <w:szCs w:val="22"/>
        </w:rPr>
        <w:t>提供</w:t>
      </w:r>
      <w:r>
        <w:rPr>
          <w:rFonts w:hint="eastAsia" w:ascii="宋体" w:hAnsi="宋体"/>
          <w:color w:val="000000"/>
          <w:sz w:val="22"/>
          <w:szCs w:val="22"/>
        </w:rPr>
        <w:t>投标</w:t>
      </w:r>
      <w:r>
        <w:rPr>
          <w:rFonts w:hint="eastAsia" w:ascii="宋体" w:hAnsi="宋体"/>
          <w:sz w:val="22"/>
          <w:szCs w:val="22"/>
        </w:rPr>
        <w:t>产品的中华人民共和国医疗器械注册证或备案凭证</w:t>
      </w:r>
      <w:r>
        <w:rPr>
          <w:rFonts w:hint="eastAsia" w:ascii="宋体" w:hAnsi="宋体"/>
          <w:sz w:val="22"/>
          <w:szCs w:val="22"/>
          <w:lang w:eastAsia="zh-CN"/>
        </w:rPr>
        <w:t>，且在有效期内</w:t>
      </w:r>
      <w:r>
        <w:rPr>
          <w:rFonts w:hint="eastAsia" w:ascii="宋体" w:hAnsi="宋体"/>
          <w:sz w:val="22"/>
          <w:szCs w:val="22"/>
        </w:rPr>
        <w:t>。</w:t>
      </w:r>
    </w:p>
    <w:p>
      <w:pPr>
        <w:spacing w:line="360" w:lineRule="auto"/>
        <w:ind w:firstLine="440" w:firstLineChars="200"/>
        <w:rPr>
          <w:rFonts w:ascii="宋体" w:hAnsi="宋体"/>
          <w:color w:val="000000"/>
          <w:sz w:val="22"/>
          <w:szCs w:val="22"/>
        </w:rPr>
      </w:pPr>
      <w:r>
        <w:rPr>
          <w:rFonts w:hint="eastAsia" w:ascii="宋体" w:hAnsi="宋体"/>
          <w:sz w:val="22"/>
          <w:szCs w:val="22"/>
        </w:rPr>
        <w:t>2.投标人</w:t>
      </w:r>
      <w:r>
        <w:rPr>
          <w:rFonts w:hint="eastAsia" w:ascii="宋体" w:hAnsi="宋体"/>
          <w:color w:val="000000"/>
          <w:sz w:val="22"/>
          <w:szCs w:val="22"/>
        </w:rPr>
        <w:t>须提供与投标产品相符合的医疗器械经营许可证或备案凭证</w:t>
      </w:r>
      <w:r>
        <w:rPr>
          <w:rFonts w:hint="eastAsia" w:ascii="宋体" w:hAnsi="宋体"/>
          <w:color w:val="000000"/>
          <w:sz w:val="22"/>
          <w:szCs w:val="22"/>
          <w:lang w:eastAsia="zh-CN"/>
        </w:rPr>
        <w:t>，且在有效期内</w:t>
      </w:r>
      <w:r>
        <w:rPr>
          <w:rFonts w:hint="eastAsia" w:ascii="宋体" w:hAnsi="宋体"/>
          <w:color w:val="000000"/>
          <w:sz w:val="22"/>
          <w:szCs w:val="22"/>
        </w:rPr>
        <w:t>。</w:t>
      </w:r>
    </w:p>
    <w:p>
      <w:pPr>
        <w:spacing w:line="360" w:lineRule="auto"/>
        <w:ind w:firstLine="482" w:firstLineChars="200"/>
        <w:rPr>
          <w:rFonts w:hint="eastAsia" w:asciiTheme="minorEastAsia" w:hAnsiTheme="minorEastAsia"/>
          <w:b/>
          <w:bCs/>
          <w:sz w:val="24"/>
          <w:szCs w:val="24"/>
        </w:rPr>
      </w:pPr>
      <w:r>
        <w:rPr>
          <w:rFonts w:hint="eastAsia" w:asciiTheme="minorEastAsia" w:hAnsiTheme="minorEastAsia"/>
          <w:b/>
          <w:bCs/>
          <w:sz w:val="24"/>
          <w:szCs w:val="24"/>
        </w:rPr>
        <w:t>四、评标方法及评标细则要求</w:t>
      </w:r>
    </w:p>
    <w:p>
      <w:pPr>
        <w:spacing w:line="360" w:lineRule="auto"/>
        <w:ind w:firstLine="482" w:firstLineChars="200"/>
        <w:rPr>
          <w:rFonts w:hint="eastAsia" w:asciiTheme="minorEastAsia" w:hAnsiTheme="minorEastAsia" w:eastAsiaTheme="minorEastAsia"/>
          <w:b/>
          <w:bCs/>
          <w:color w:val="FF0000"/>
          <w:sz w:val="24"/>
          <w:szCs w:val="24"/>
          <w:lang w:eastAsia="zh-CN"/>
        </w:rPr>
      </w:pPr>
      <w:r>
        <w:rPr>
          <w:rFonts w:hint="eastAsia" w:asciiTheme="minorEastAsia" w:hAnsiTheme="minorEastAsia"/>
          <w:b/>
          <w:bCs/>
          <w:color w:val="FF0000"/>
          <w:sz w:val="24"/>
          <w:szCs w:val="24"/>
          <w:lang w:eastAsia="zh-CN"/>
        </w:rPr>
        <w:t>采用综合评分法</w:t>
      </w:r>
    </w:p>
    <w:p>
      <w:pPr>
        <w:spacing w:line="360" w:lineRule="auto"/>
        <w:ind w:firstLine="420" w:firstLineChars="200"/>
        <w:rPr>
          <w:rFonts w:ascii="宋体" w:hAnsi="宋体"/>
          <w:b w:val="0"/>
          <w:bCs/>
          <w:sz w:val="21"/>
          <w:szCs w:val="21"/>
          <w:lang w:val="zh-CN"/>
        </w:rPr>
      </w:pPr>
      <w:r>
        <w:rPr>
          <w:rFonts w:hint="eastAsia" w:ascii="宋体" w:hAnsi="宋体" w:cs="宋体"/>
          <w:b w:val="0"/>
          <w:bCs/>
          <w:kern w:val="0"/>
          <w:sz w:val="21"/>
          <w:szCs w:val="21"/>
          <w:lang w:val="en-US" w:eastAsia="zh-CN"/>
        </w:rPr>
        <w:t>1.</w:t>
      </w: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1.投标人是法人的审查会计师事务所出具的近一年度财务审计报告或基本开户银行近一年内出具的资信证明。</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spacing w:line="360" w:lineRule="auto"/>
        <w:ind w:firstLine="420" w:firstLineChars="200"/>
        <w:rPr>
          <w:rFonts w:hint="eastAsia" w:asciiTheme="minorEastAsia" w:hAnsiTheme="minorEastAsia"/>
          <w:sz w:val="24"/>
          <w:szCs w:val="24"/>
        </w:rPr>
      </w:pPr>
      <w:r>
        <w:rPr>
          <w:rFonts w:hint="eastAsia" w:asciiTheme="minorEastAsia" w:hAnsiTheme="minorEastAsia"/>
          <w:sz w:val="21"/>
          <w:szCs w:val="21"/>
          <w:lang w:val="en-US" w:eastAsia="zh-CN"/>
        </w:rPr>
        <w:t>2.详细评审表</w:t>
      </w:r>
    </w:p>
    <w:tbl>
      <w:tblPr>
        <w:tblStyle w:val="7"/>
        <w:tblpPr w:vertAnchor="text" w:tblpXSpec="center" w:tblpY="1"/>
        <w:tblW w:w="8522" w:type="dxa"/>
        <w:tblInd w:w="108" w:type="dxa"/>
        <w:tblLayout w:type="fixed"/>
        <w:tblCellMar>
          <w:top w:w="0" w:type="dxa"/>
          <w:left w:w="0" w:type="dxa"/>
          <w:bottom w:w="0" w:type="dxa"/>
          <w:right w:w="0" w:type="dxa"/>
        </w:tblCellMar>
      </w:tblPr>
      <w:tblGrid>
        <w:gridCol w:w="528"/>
        <w:gridCol w:w="1701"/>
        <w:gridCol w:w="6293"/>
      </w:tblGrid>
      <w:tr>
        <w:tblPrEx>
          <w:tblCellMar>
            <w:top w:w="0" w:type="dxa"/>
            <w:left w:w="0" w:type="dxa"/>
            <w:bottom w:w="0" w:type="dxa"/>
            <w:right w:w="0" w:type="dxa"/>
          </w:tblCellMar>
        </w:tblPrEx>
        <w:trPr>
          <w:trHeight w:val="401"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评审因素</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评分标准</w:t>
            </w:r>
          </w:p>
        </w:tc>
      </w:tr>
      <w:tr>
        <w:tblPrEx>
          <w:tblCellMar>
            <w:top w:w="0" w:type="dxa"/>
            <w:left w:w="0" w:type="dxa"/>
            <w:bottom w:w="0" w:type="dxa"/>
            <w:right w:w="0" w:type="dxa"/>
          </w:tblCellMar>
        </w:tblPrEx>
        <w:trPr>
          <w:trHeight w:val="840"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分值构成</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 xml:space="preserve">1、报价得分  </w:t>
            </w:r>
            <w:r>
              <w:rPr>
                <w:rFonts w:hint="eastAsia" w:ascii="宋体" w:hAnsi="宋体" w:eastAsia="宋体"/>
                <w:b w:val="0"/>
                <w:w w:val="100"/>
                <w:sz w:val="21"/>
                <w:lang w:eastAsia="zh-CN"/>
              </w:rPr>
              <w:t>30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2、商务部分  2</w:t>
            </w:r>
            <w:r>
              <w:rPr>
                <w:rFonts w:hint="eastAsia" w:ascii="宋体" w:hAnsi="宋体" w:eastAsia="宋体"/>
                <w:b w:val="0"/>
                <w:w w:val="100"/>
                <w:sz w:val="21"/>
                <w:lang w:eastAsia="zh-CN"/>
              </w:rPr>
              <w:t>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3、技术部分 </w:t>
            </w:r>
            <w:r>
              <w:rPr>
                <w:rFonts w:hint="eastAsia" w:ascii="宋体" w:hAnsi="宋体" w:eastAsia="宋体"/>
                <w:b w:val="0"/>
                <w:w w:val="100"/>
                <w:sz w:val="21"/>
                <w:lang w:eastAsia="zh-CN"/>
              </w:rPr>
              <w:t>50</w:t>
            </w:r>
            <w:r>
              <w:rPr>
                <w:rFonts w:ascii="宋体" w:hAnsi="宋体" w:eastAsia="宋体"/>
                <w:b w:val="0"/>
                <w:w w:val="100"/>
                <w:sz w:val="21"/>
              </w:rPr>
              <w:t>分。</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评标基准价确定方法</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满足招标文件要求通过初步评审的且投标报价最低的为评标基准价。符合小型、微型企业等规定进行价格调整的,以调整后的价格计算评标基准价和投标报价。</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投标报价得分（</w:t>
            </w:r>
            <w:r>
              <w:rPr>
                <w:rFonts w:hint="eastAsia" w:ascii="宋体" w:hAnsi="宋体" w:eastAsia="宋体"/>
                <w:b w:val="0"/>
                <w:w w:val="100"/>
                <w:sz w:val="21"/>
                <w:lang w:eastAsia="zh-CN"/>
              </w:rPr>
              <w:t>30</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投标报价得分＝（评标基准价/投标报价）×</w:t>
            </w:r>
            <w:r>
              <w:rPr>
                <w:rFonts w:hint="eastAsia" w:ascii="宋体" w:hAnsi="宋体" w:eastAsia="宋体"/>
                <w:b w:val="0"/>
                <w:w w:val="100"/>
                <w:sz w:val="21"/>
                <w:lang w:eastAsia="zh-CN"/>
              </w:rPr>
              <w:t>30</w:t>
            </w:r>
            <w:r>
              <w:rPr>
                <w:rFonts w:ascii="宋体" w:hAnsi="宋体" w:eastAsia="宋体"/>
                <w:b w:val="0"/>
                <w:w w:val="100"/>
                <w:sz w:val="21"/>
              </w:rPr>
              <w:t>。</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商务部分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业绩</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（8分）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投标人提供201</w:t>
            </w:r>
            <w:r>
              <w:rPr>
                <w:rFonts w:hint="eastAsia" w:ascii="宋体" w:hAnsi="宋体" w:eastAsia="宋体"/>
                <w:b w:val="0"/>
                <w:w w:val="100"/>
                <w:sz w:val="21"/>
                <w:lang w:val="en-US" w:eastAsia="zh-CN"/>
              </w:rPr>
              <w:t>8</w:t>
            </w:r>
            <w:r>
              <w:rPr>
                <w:rFonts w:ascii="宋体" w:hAnsi="宋体" w:eastAsia="宋体"/>
                <w:b w:val="0"/>
                <w:w w:val="100"/>
                <w:sz w:val="21"/>
              </w:rPr>
              <w:t>年至今“核心产品”的项目业绩，投标文件中附有其业绩证明材料，业绩以投标人的销售或服务合同为依据，每提供一个计2分，满分8分。</w:t>
            </w:r>
          </w:p>
          <w:p>
            <w:pPr>
              <w:widowControl/>
              <w:autoSpaceDE/>
              <w:autoSpaceDN/>
              <w:snapToGrid/>
              <w:spacing w:before="0" w:after="0" w:line="240" w:lineRule="auto"/>
              <w:ind w:left="0" w:firstLine="0"/>
              <w:jc w:val="left"/>
              <w:rPr>
                <w:rFonts w:ascii="Calibri" w:hAnsi="Calibri" w:eastAsia="宋体"/>
                <w:b w:val="0"/>
                <w:w w:val="100"/>
                <w:sz w:val="21"/>
              </w:rPr>
            </w:pPr>
            <w:r>
              <w:rPr>
                <w:rFonts w:ascii="宋体" w:hAnsi="宋体" w:eastAsia="宋体"/>
                <w:b w:val="0"/>
                <w:w w:val="100"/>
                <w:sz w:val="21"/>
              </w:rPr>
              <w:t>注：业绩（销售或服务合同）中甲乙双方签章、合同签订时间、合同金额和设备名称必须清晰，否则不予评分。</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宋体" w:hAnsi="宋体" w:eastAsia="宋体"/>
                <w:b w:val="0"/>
                <w:w w:val="100"/>
                <w:sz w:val="21"/>
                <w:lang w:eastAsia="zh-CN"/>
              </w:rPr>
            </w:pPr>
            <w:r>
              <w:rPr>
                <w:rFonts w:hint="eastAsia" w:ascii="宋体" w:hAnsi="宋体" w:eastAsia="宋体"/>
                <w:b w:val="0"/>
                <w:w w:val="100"/>
                <w:sz w:val="21"/>
                <w:lang w:eastAsia="zh-CN"/>
              </w:rPr>
              <w:t>产地</w:t>
            </w:r>
          </w:p>
          <w:p>
            <w:pPr>
              <w:widowControl/>
              <w:autoSpaceDE/>
              <w:autoSpaceDN/>
              <w:snapToGrid/>
              <w:spacing w:before="0" w:after="0" w:line="240" w:lineRule="auto"/>
              <w:ind w:left="0" w:firstLine="0"/>
              <w:jc w:val="center"/>
              <w:rPr>
                <w:rFonts w:hint="eastAsia" w:ascii="宋体" w:hAnsi="宋体" w:eastAsia="宋体"/>
                <w:b w:val="0"/>
                <w:w w:val="100"/>
                <w:sz w:val="21"/>
                <w:lang w:eastAsia="zh-CN"/>
              </w:rPr>
            </w:pPr>
            <w:r>
              <w:rPr>
                <w:rFonts w:ascii="宋体" w:hAnsi="宋体" w:eastAsia="宋体"/>
                <w:b w:val="0"/>
                <w:w w:val="100"/>
                <w:sz w:val="21"/>
              </w:rPr>
              <w:t>（</w:t>
            </w:r>
            <w:r>
              <w:rPr>
                <w:rFonts w:hint="eastAsia" w:ascii="宋体" w:hAnsi="宋体" w:eastAsia="宋体"/>
                <w:b w:val="0"/>
                <w:w w:val="100"/>
                <w:sz w:val="21"/>
                <w:lang w:eastAsia="zh-CN"/>
              </w:rPr>
              <w:t>2</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hint="eastAsia" w:ascii="宋体" w:hAnsi="宋体" w:eastAsia="宋体"/>
                <w:b w:val="0"/>
                <w:w w:val="100"/>
                <w:sz w:val="21"/>
                <w:lang w:eastAsia="zh-CN"/>
              </w:rPr>
              <w:t>投标产品全部为进口，得2分。其他，不得分。</w:t>
            </w:r>
          </w:p>
        </w:tc>
      </w:tr>
      <w:tr>
        <w:tblPrEx>
          <w:tblCellMar>
            <w:top w:w="0" w:type="dxa"/>
            <w:left w:w="0" w:type="dxa"/>
            <w:bottom w:w="0" w:type="dxa"/>
            <w:right w:w="0" w:type="dxa"/>
          </w:tblCellMar>
        </w:tblPrEx>
        <w:trPr>
          <w:trHeight w:val="94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宋体" w:hAnsi="Calibri" w:eastAsia="宋体"/>
                <w:b w:val="0"/>
                <w:w w:val="100"/>
                <w:sz w:val="21"/>
                <w:lang w:eastAsia="zh-CN"/>
              </w:rPr>
            </w:pPr>
            <w:r>
              <w:rPr>
                <w:rFonts w:hint="eastAsia" w:ascii="宋体" w:hAnsi="Calibri" w:eastAsia="宋体"/>
                <w:b w:val="0"/>
                <w:w w:val="100"/>
                <w:sz w:val="21"/>
                <w:lang w:val="en-US" w:eastAsia="zh-CN"/>
              </w:rPr>
              <w:t>售后</w:t>
            </w:r>
            <w:r>
              <w:rPr>
                <w:rFonts w:ascii="宋体" w:hAnsi="Calibri" w:eastAsia="宋体"/>
                <w:b w:val="0"/>
                <w:w w:val="100"/>
                <w:sz w:val="21"/>
              </w:rPr>
              <w:t>服务</w:t>
            </w:r>
            <w:r>
              <w:rPr>
                <w:rFonts w:hint="eastAsia" w:ascii="宋体" w:hAnsi="Calibri" w:eastAsia="宋体"/>
                <w:b w:val="0"/>
                <w:w w:val="100"/>
                <w:sz w:val="21"/>
                <w:lang w:val="en-US" w:eastAsia="zh-CN"/>
              </w:rPr>
              <w:t>方案</w:t>
            </w:r>
          </w:p>
          <w:p>
            <w:pPr>
              <w:widowControl/>
              <w:autoSpaceDE/>
              <w:autoSpaceDN/>
              <w:snapToGrid/>
              <w:spacing w:before="0" w:after="0" w:line="240" w:lineRule="auto"/>
              <w:ind w:left="0" w:leftChars="0" w:firstLine="0" w:firstLineChars="0"/>
              <w:jc w:val="center"/>
              <w:rPr>
                <w:rFonts w:ascii="宋体" w:hAnsi="Calibri" w:eastAsia="宋体"/>
                <w:b w:val="0"/>
                <w:w w:val="100"/>
                <w:sz w:val="21"/>
              </w:rPr>
            </w:pPr>
            <w:r>
              <w:rPr>
                <w:rFonts w:ascii="宋体" w:hAnsi="Calibri" w:eastAsia="宋体"/>
                <w:b w:val="0"/>
                <w:w w:val="100"/>
                <w:sz w:val="21"/>
              </w:rPr>
              <w:t>（</w:t>
            </w:r>
            <w:r>
              <w:rPr>
                <w:rFonts w:hint="eastAsia" w:ascii="宋体" w:hAnsi="Calibri" w:eastAsia="宋体"/>
                <w:b w:val="0"/>
                <w:w w:val="100"/>
                <w:sz w:val="21"/>
                <w:lang w:val="en-US" w:eastAsia="zh-CN"/>
              </w:rPr>
              <w:t>5</w:t>
            </w:r>
            <w:r>
              <w:rPr>
                <w:rFonts w:ascii="宋体" w:hAnsi="Calibri"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leftChars="0" w:firstLine="0" w:firstLineChars="0"/>
              <w:jc w:val="left"/>
              <w:rPr>
                <w:rFonts w:ascii="宋体" w:hAnsi="宋体" w:eastAsia="宋体"/>
                <w:b w:val="0"/>
                <w:w w:val="100"/>
                <w:sz w:val="21"/>
              </w:rPr>
            </w:pPr>
            <w:r>
              <w:rPr>
                <w:rFonts w:ascii="宋体" w:hAnsi="宋体" w:eastAsia="宋体"/>
                <w:b w:val="0"/>
                <w:w w:val="100"/>
                <w:sz w:val="21"/>
              </w:rPr>
              <w:t>投标人对</w:t>
            </w:r>
            <w:r>
              <w:rPr>
                <w:rFonts w:hint="eastAsia" w:ascii="宋体" w:hAnsi="宋体" w:eastAsia="宋体"/>
                <w:b w:val="0"/>
                <w:w w:val="100"/>
                <w:sz w:val="21"/>
                <w:lang w:eastAsia="zh-CN"/>
              </w:rPr>
              <w:t>投标产品的售后服务方案</w:t>
            </w:r>
            <w:r>
              <w:rPr>
                <w:rFonts w:ascii="宋体" w:hAnsi="宋体" w:eastAsia="宋体"/>
                <w:b w:val="0"/>
                <w:w w:val="100"/>
                <w:sz w:val="21"/>
              </w:rPr>
              <w:t>进行承诺，</w:t>
            </w:r>
            <w:r>
              <w:rPr>
                <w:rFonts w:hint="eastAsia" w:ascii="宋体" w:hAnsi="宋体" w:eastAsia="宋体"/>
                <w:b w:val="0"/>
                <w:w w:val="100"/>
                <w:sz w:val="21"/>
                <w:lang w:eastAsia="zh-CN"/>
              </w:rPr>
              <w:t>涵盖技术支持与培训、工程师队伍配备、报修响应时间、备品备件库等方面，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综合评价最优的</w:t>
            </w:r>
            <w:r>
              <w:rPr>
                <w:rFonts w:ascii="宋体" w:hAnsi="宋体" w:eastAsia="宋体"/>
                <w:b w:val="0"/>
                <w:w w:val="100"/>
                <w:sz w:val="21"/>
              </w:rPr>
              <w:t>，得4-5分；次之得</w:t>
            </w:r>
            <w:r>
              <w:rPr>
                <w:rFonts w:hint="eastAsia" w:ascii="宋体" w:hAnsi="宋体" w:eastAsia="宋体"/>
                <w:b w:val="0"/>
                <w:w w:val="100"/>
                <w:sz w:val="21"/>
                <w:lang w:val="en-US" w:eastAsia="zh-CN"/>
              </w:rPr>
              <w:t>1</w:t>
            </w:r>
            <w:r>
              <w:rPr>
                <w:rFonts w:ascii="宋体" w:hAnsi="宋体" w:eastAsia="宋体"/>
                <w:b w:val="0"/>
                <w:w w:val="100"/>
                <w:sz w:val="21"/>
              </w:rPr>
              <w:t xml:space="preserve">-3分；未提供承诺函或未加盖公章不得分。 </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质保期（</w:t>
            </w:r>
            <w:r>
              <w:rPr>
                <w:rFonts w:hint="eastAsia" w:ascii="宋体" w:hAnsi="宋体" w:eastAsia="宋体"/>
                <w:b w:val="0"/>
                <w:w w:val="100"/>
                <w:sz w:val="21"/>
                <w:lang w:eastAsia="zh-CN"/>
              </w:rPr>
              <w:t>2</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宋体" w:hAnsi="Calibri" w:eastAsia="宋体"/>
                <w:b w:val="0"/>
                <w:w w:val="100"/>
                <w:sz w:val="21"/>
                <w:lang w:eastAsia="zh-CN"/>
              </w:rPr>
            </w:pPr>
            <w:r>
              <w:rPr>
                <w:rFonts w:hint="eastAsia" w:ascii="宋体" w:hAnsi="宋体" w:eastAsia="宋体"/>
                <w:b w:val="0"/>
                <w:w w:val="100"/>
                <w:sz w:val="21"/>
                <w:lang w:eastAsia="zh-CN"/>
              </w:rPr>
              <w:t>超出招标文件规定的质保期一年以上的</w:t>
            </w:r>
            <w:r>
              <w:rPr>
                <w:rFonts w:ascii="宋体" w:hAnsi="宋体" w:eastAsia="宋体"/>
                <w:b w:val="0"/>
                <w:w w:val="100"/>
                <w:sz w:val="21"/>
              </w:rPr>
              <w:t>,</w:t>
            </w:r>
            <w:r>
              <w:rPr>
                <w:rFonts w:hint="eastAsia" w:ascii="宋体" w:hAnsi="宋体" w:eastAsia="宋体"/>
                <w:b w:val="0"/>
                <w:w w:val="100"/>
                <w:sz w:val="21"/>
                <w:lang w:eastAsia="zh-CN"/>
              </w:rPr>
              <w:t>得2</w:t>
            </w:r>
            <w:r>
              <w:rPr>
                <w:rFonts w:ascii="宋体" w:hAnsi="宋体" w:eastAsia="宋体"/>
                <w:b w:val="0"/>
                <w:w w:val="100"/>
                <w:sz w:val="21"/>
              </w:rPr>
              <w:t>分</w:t>
            </w:r>
            <w:r>
              <w:rPr>
                <w:rFonts w:hint="eastAsia" w:ascii="宋体" w:hAnsi="宋体" w:eastAsia="宋体"/>
                <w:b w:val="0"/>
                <w:w w:val="100"/>
                <w:sz w:val="21"/>
                <w:lang w:eastAsia="zh-CN"/>
              </w:rPr>
              <w:t>，否则不得分。</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相关认证</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（3分）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投标人或核心产品生产厂家具有且提供（在有效期内）：</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ISO</w:t>
            </w:r>
            <w:r>
              <w:rPr>
                <w:rFonts w:ascii="宋体" w:hAnsi="宋体" w:eastAsia="宋体"/>
                <w:b w:val="0"/>
                <w:w w:val="100"/>
                <w:sz w:val="21"/>
              </w:rPr>
              <w:t>13485认证的，得2分；</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2.ISO9001认证的；得0.5分；</w:t>
            </w:r>
          </w:p>
          <w:p>
            <w:pPr>
              <w:widowControl/>
              <w:autoSpaceDE/>
              <w:autoSpaceDN/>
              <w:snapToGrid/>
              <w:spacing w:before="0" w:after="0" w:line="240" w:lineRule="auto"/>
              <w:ind w:left="0" w:firstLine="0"/>
              <w:jc w:val="left"/>
              <w:rPr>
                <w:rFonts w:ascii="Arial" w:hAnsi="Arial" w:eastAsia="宋体"/>
                <w:b w:val="0"/>
                <w:color w:val="333333"/>
                <w:w w:val="100"/>
                <w:sz w:val="21"/>
                <w:shd w:val="clear" w:color="000000" w:fill="FFFFFF"/>
              </w:rPr>
            </w:pPr>
            <w:r>
              <w:rPr>
                <w:rFonts w:ascii="宋体" w:hAnsi="宋体" w:eastAsia="宋体"/>
                <w:b w:val="0"/>
                <w:w w:val="100"/>
                <w:sz w:val="21"/>
              </w:rPr>
              <w:t>3.</w:t>
            </w:r>
            <w:r>
              <w:rPr>
                <w:rFonts w:ascii="宋体" w:hAnsi="宋体" w:eastAsia="宋体"/>
                <w:b w:val="0"/>
                <w:w w:val="100"/>
                <w:sz w:val="21"/>
              </w:rPr>
              <w:fldChar w:fldCharType="begin" w:fldLock="1"/>
            </w:r>
            <w:r>
              <w:rPr>
                <w:rFonts w:ascii="宋体" w:hAnsi="宋体" w:eastAsia="宋体"/>
                <w:b w:val="0"/>
                <w:w w:val="100"/>
                <w:sz w:val="21"/>
              </w:rPr>
              <w:instrText xml:space="preserve"> HYPERLINK "https://baike.so.com/doc/5457843-5696231.html"\t"_blank" </w:instrText>
            </w:r>
            <w:r>
              <w:rPr>
                <w:rFonts w:ascii="宋体" w:hAnsi="宋体" w:eastAsia="宋体"/>
                <w:b w:val="0"/>
                <w:w w:val="100"/>
                <w:sz w:val="21"/>
              </w:rPr>
              <w:fldChar w:fldCharType="separate"/>
            </w:r>
            <w:r>
              <w:rPr>
                <w:rFonts w:ascii="宋体" w:hAnsi="宋体" w:eastAsia="宋体"/>
                <w:b w:val="0"/>
                <w:w w:val="100"/>
                <w:sz w:val="21"/>
                <w:u w:val="none"/>
              </w:rPr>
              <w:t>ISO14001认证</w:t>
            </w:r>
            <w:r>
              <w:rPr>
                <w:rFonts w:ascii="宋体" w:hAnsi="宋体" w:eastAsia="宋体"/>
                <w:b w:val="0"/>
                <w:w w:val="100"/>
                <w:sz w:val="21"/>
              </w:rPr>
              <w:fldChar w:fldCharType="end"/>
            </w:r>
            <w:r>
              <w:rPr>
                <w:rFonts w:ascii="宋体" w:hAnsi="宋体" w:eastAsia="宋体"/>
                <w:b w:val="0"/>
                <w:w w:val="100"/>
                <w:sz w:val="21"/>
              </w:rPr>
              <w:t>的，得0.5分。</w:t>
            </w:r>
          </w:p>
        </w:tc>
      </w:tr>
      <w:tr>
        <w:tblPrEx>
          <w:tblCellMar>
            <w:top w:w="0" w:type="dxa"/>
            <w:left w:w="0" w:type="dxa"/>
            <w:bottom w:w="0" w:type="dxa"/>
            <w:right w:w="0" w:type="dxa"/>
          </w:tblCellMar>
        </w:tblPrEx>
        <w:trPr>
          <w:trHeight w:val="782"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技术部分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主要技术参数（标“*”项）</w:t>
            </w:r>
          </w:p>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7</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所有产品主要技术参数指标（加“*”项）完全满足招标文件要求,得基础分</w:t>
            </w:r>
            <w:r>
              <w:rPr>
                <w:rFonts w:hint="eastAsia" w:ascii="宋体" w:hAnsi="宋体" w:eastAsia="宋体"/>
                <w:b w:val="0"/>
                <w:w w:val="100"/>
                <w:sz w:val="21"/>
                <w:lang w:eastAsia="zh-CN"/>
              </w:rPr>
              <w:t>9</w:t>
            </w:r>
            <w:r>
              <w:rPr>
                <w:rFonts w:ascii="宋体" w:hAnsi="宋体" w:eastAsia="宋体"/>
                <w:b w:val="0"/>
                <w:w w:val="100"/>
                <w:sz w:val="21"/>
              </w:rPr>
              <w:t>分；每有一项实质性优于,加2分，最多加</w:t>
            </w:r>
            <w:r>
              <w:rPr>
                <w:rFonts w:hint="eastAsia" w:ascii="宋体" w:hAnsi="宋体" w:eastAsia="宋体"/>
                <w:b w:val="0"/>
                <w:w w:val="100"/>
                <w:sz w:val="21"/>
                <w:lang w:eastAsia="zh-CN"/>
              </w:rPr>
              <w:t>8</w:t>
            </w:r>
            <w:r>
              <w:rPr>
                <w:rFonts w:ascii="宋体" w:hAnsi="宋体" w:eastAsia="宋体"/>
                <w:b w:val="0"/>
                <w:w w:val="100"/>
                <w:sz w:val="21"/>
              </w:rPr>
              <w:t>分。</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一般技术参数（未标“*”项）（</w:t>
            </w:r>
            <w:r>
              <w:rPr>
                <w:rFonts w:hint="eastAsia" w:ascii="宋体" w:hAnsi="宋体" w:eastAsia="宋体"/>
                <w:b w:val="0"/>
                <w:w w:val="100"/>
                <w:sz w:val="21"/>
                <w:lang w:eastAsia="zh-CN"/>
              </w:rPr>
              <w:t>24</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所有产品一般技术参数指标（非“*”项）满足招标文件要求的得满分</w:t>
            </w:r>
            <w:r>
              <w:rPr>
                <w:rFonts w:hint="eastAsia" w:ascii="宋体" w:hAnsi="宋体" w:eastAsia="宋体"/>
                <w:b w:val="0"/>
                <w:w w:val="100"/>
                <w:sz w:val="21"/>
                <w:lang w:eastAsia="zh-CN"/>
              </w:rPr>
              <w:t>24</w:t>
            </w:r>
            <w:r>
              <w:rPr>
                <w:rFonts w:ascii="宋体" w:hAnsi="宋体" w:eastAsia="宋体"/>
                <w:b w:val="0"/>
                <w:w w:val="100"/>
                <w:sz w:val="21"/>
              </w:rPr>
              <w:t>分，每有一项技术参数不满足或负偏离扣</w:t>
            </w:r>
            <w:r>
              <w:rPr>
                <w:rFonts w:hint="eastAsia" w:ascii="宋体" w:hAnsi="宋体" w:eastAsia="宋体"/>
                <w:b w:val="0"/>
                <w:w w:val="100"/>
                <w:sz w:val="21"/>
                <w:lang w:eastAsia="zh-CN"/>
              </w:rPr>
              <w:t>3</w:t>
            </w:r>
            <w:r>
              <w:rPr>
                <w:rFonts w:ascii="宋体" w:hAnsi="宋体" w:eastAsia="宋体"/>
                <w:b w:val="0"/>
                <w:w w:val="100"/>
                <w:sz w:val="21"/>
              </w:rPr>
              <w:t>分,分值扣完为止。</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投标产品的选型配置（</w:t>
            </w:r>
            <w:r>
              <w:rPr>
                <w:rFonts w:hint="eastAsia" w:ascii="宋体" w:hAnsi="宋体" w:eastAsia="宋体"/>
                <w:b w:val="0"/>
                <w:w w:val="100"/>
                <w:sz w:val="21"/>
                <w:lang w:eastAsia="zh-CN"/>
              </w:rPr>
              <w:t>4</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投标产品整体质量状况、产品的知名度及市场占有率等，得1-</w:t>
            </w:r>
            <w:r>
              <w:rPr>
                <w:rFonts w:hint="eastAsia" w:ascii="宋体" w:hAnsi="宋体" w:eastAsia="宋体"/>
                <w:b w:val="0"/>
                <w:w w:val="100"/>
                <w:sz w:val="21"/>
                <w:lang w:eastAsia="zh-CN"/>
              </w:rPr>
              <w:t>4</w:t>
            </w:r>
            <w:r>
              <w:rPr>
                <w:rFonts w:ascii="宋体" w:hAnsi="宋体" w:eastAsia="宋体"/>
                <w:b w:val="0"/>
                <w:w w:val="100"/>
                <w:sz w:val="21"/>
              </w:rPr>
              <w:t>分。</w:t>
            </w:r>
          </w:p>
        </w:tc>
      </w:tr>
      <w:tr>
        <w:tblPrEx>
          <w:tblCellMar>
            <w:top w:w="0" w:type="dxa"/>
            <w:left w:w="0" w:type="dxa"/>
            <w:bottom w:w="0" w:type="dxa"/>
            <w:right w:w="0" w:type="dxa"/>
          </w:tblCellMar>
        </w:tblPrEx>
        <w:trPr>
          <w:trHeight w:val="65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Calibri" w:eastAsia="宋体"/>
                <w:b w:val="0"/>
                <w:w w:val="100"/>
                <w:sz w:val="21"/>
              </w:rPr>
              <w:t>综合评价</w:t>
            </w:r>
          </w:p>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Calibri" w:eastAsia="宋体"/>
                <w:b w:val="0"/>
                <w:w w:val="100"/>
                <w:sz w:val="21"/>
              </w:rPr>
              <w:t>（5分）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投标产品</w:t>
            </w:r>
            <w:r>
              <w:rPr>
                <w:rFonts w:hint="eastAsia" w:ascii="宋体" w:hAnsi="宋体" w:eastAsia="宋体"/>
                <w:b w:val="0"/>
                <w:w w:val="100"/>
                <w:sz w:val="21"/>
                <w:lang w:eastAsia="zh-CN"/>
              </w:rPr>
              <w:t>的先进性、稳定性、</w:t>
            </w:r>
            <w:r>
              <w:rPr>
                <w:rFonts w:ascii="宋体" w:hAnsi="宋体" w:eastAsia="宋体"/>
                <w:b w:val="0"/>
                <w:w w:val="100"/>
                <w:sz w:val="21"/>
              </w:rPr>
              <w:t>操作性、</w:t>
            </w:r>
            <w:r>
              <w:rPr>
                <w:rFonts w:hint="eastAsia" w:ascii="宋体" w:hAnsi="宋体" w:eastAsia="宋体"/>
                <w:b w:val="0"/>
                <w:w w:val="100"/>
                <w:sz w:val="21"/>
                <w:lang w:eastAsia="zh-CN"/>
              </w:rPr>
              <w:t>维护</w:t>
            </w:r>
            <w:r>
              <w:rPr>
                <w:rFonts w:ascii="宋体" w:hAnsi="宋体" w:eastAsia="宋体"/>
                <w:b w:val="0"/>
                <w:w w:val="100"/>
                <w:sz w:val="21"/>
              </w:rPr>
              <w:t>性、节能环保等方面的性能指标状况综合评价：好4-5分，较好2-3分，一般0-1分。</w:t>
            </w:r>
          </w:p>
        </w:tc>
      </w:tr>
    </w:tbl>
    <w:p>
      <w:pPr>
        <w:spacing w:line="360" w:lineRule="auto"/>
        <w:ind w:firstLine="4620" w:firstLineChars="1650"/>
        <w:rPr>
          <w:rFonts w:hint="eastAsia" w:asciiTheme="minorEastAsia" w:hAnsiTheme="minorEastAsia"/>
          <w:sz w:val="28"/>
          <w:szCs w:val="28"/>
        </w:rPr>
      </w:pPr>
    </w:p>
    <w:p>
      <w:pPr>
        <w:spacing w:line="360" w:lineRule="auto"/>
        <w:jc w:val="right"/>
        <w:rPr>
          <w:rFonts w:hint="eastAsia" w:asciiTheme="minorEastAsia" w:hAnsiTheme="minorEastAsia"/>
          <w:sz w:val="28"/>
          <w:szCs w:val="28"/>
        </w:rPr>
      </w:pPr>
      <w:r>
        <w:rPr>
          <w:rFonts w:hint="eastAsia" w:asciiTheme="minorEastAsia" w:hAnsiTheme="minorEastAsia"/>
          <w:sz w:val="28"/>
          <w:szCs w:val="28"/>
          <w:lang w:val="en-US" w:eastAsia="zh-CN"/>
        </w:rPr>
        <w:t>鄂尔多斯市中心医院</w:t>
      </w:r>
      <w:r>
        <w:rPr>
          <w:rFonts w:hint="eastAsia" w:asciiTheme="minorEastAsia" w:hAnsiTheme="minorEastAsia"/>
          <w:sz w:val="28"/>
          <w:szCs w:val="28"/>
        </w:rPr>
        <w:t xml:space="preserve">                                </w:t>
      </w:r>
    </w:p>
    <w:p>
      <w:pPr>
        <w:numPr>
          <w:ilvl w:val="0"/>
          <w:numId w:val="0"/>
        </w:numPr>
        <w:tabs>
          <w:tab w:val="left" w:pos="606"/>
        </w:tabs>
        <w:bidi w:val="0"/>
        <w:ind w:firstLine="6160" w:firstLineChars="2200"/>
        <w:jc w:val="left"/>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2020</w:t>
      </w:r>
      <w:r>
        <w:rPr>
          <w:rFonts w:hint="eastAsia" w:asciiTheme="minorEastAsia" w:hAnsiTheme="minorEastAsia"/>
          <w:sz w:val="28"/>
          <w:szCs w:val="28"/>
        </w:rPr>
        <w:t>年</w:t>
      </w:r>
      <w:r>
        <w:rPr>
          <w:rFonts w:hint="eastAsia" w:asciiTheme="minorEastAsia" w:hAnsiTheme="minorEastAsia"/>
          <w:sz w:val="28"/>
          <w:szCs w:val="28"/>
          <w:lang w:val="en-US" w:eastAsia="zh-CN"/>
        </w:rPr>
        <w:t>6</w:t>
      </w:r>
      <w:r>
        <w:rPr>
          <w:rFonts w:hint="eastAsia" w:asciiTheme="minorEastAsia" w:hAnsiTheme="minorEastAsia"/>
          <w:sz w:val="28"/>
          <w:szCs w:val="28"/>
        </w:rPr>
        <w:t>月</w:t>
      </w:r>
      <w:r>
        <w:rPr>
          <w:rFonts w:hint="eastAsia" w:asciiTheme="minorEastAsia" w:hAnsiTheme="minorEastAsia"/>
          <w:sz w:val="28"/>
          <w:szCs w:val="28"/>
          <w:lang w:val="en-US" w:eastAsia="zh-CN"/>
        </w:rPr>
        <w:t>15</w:t>
      </w:r>
      <w:r>
        <w:rPr>
          <w:rFonts w:hint="eastAsia" w:asciiTheme="minorEastAsia" w:hAnsiTheme="minorEastAsia"/>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4.履约保证金退回流程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黑名单记录内容：投标厂家名称、法人名称、报名联系人、开标联系人、联系电话等。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w:t>
      </w:r>
      <w:bookmarkStart w:id="10" w:name="_GoBack"/>
      <w:bookmarkEnd w:id="10"/>
      <w:r>
        <w:rPr>
          <w:rFonts w:hint="eastAsia" w:ascii="宋体" w:hAnsi="宋体" w:eastAsia="宋体" w:cs="宋体"/>
          <w:b w:val="0"/>
          <w:bCs/>
          <w:sz w:val="24"/>
          <w:szCs w:val="24"/>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9"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9"/>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十六、产品彩页</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十七、其他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540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336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643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643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438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十六、产品彩页</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abstractNum w:abstractNumId="4">
    <w:nsid w:val="6EECE20A"/>
    <w:multiLevelType w:val="singleLevel"/>
    <w:tmpl w:val="6EECE20A"/>
    <w:lvl w:ilvl="0" w:tentative="0">
      <w:start w:val="2"/>
      <w:numFmt w:val="chineseCounting"/>
      <w:lvlText w:val="%1."/>
      <w:lvlJc w:val="left"/>
      <w:pPr>
        <w:tabs>
          <w:tab w:val="left" w:pos="312"/>
        </w:tabs>
      </w:pPr>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14C1D05"/>
    <w:rsid w:val="027E2104"/>
    <w:rsid w:val="030D75C3"/>
    <w:rsid w:val="036A0F34"/>
    <w:rsid w:val="04D74F47"/>
    <w:rsid w:val="069429D0"/>
    <w:rsid w:val="069D5FAD"/>
    <w:rsid w:val="08DB2790"/>
    <w:rsid w:val="0E280BA1"/>
    <w:rsid w:val="10D51590"/>
    <w:rsid w:val="111B7AAD"/>
    <w:rsid w:val="141960BC"/>
    <w:rsid w:val="14511D5D"/>
    <w:rsid w:val="14A30191"/>
    <w:rsid w:val="18803BFB"/>
    <w:rsid w:val="1B031D68"/>
    <w:rsid w:val="225B4788"/>
    <w:rsid w:val="22A03B30"/>
    <w:rsid w:val="23C451C6"/>
    <w:rsid w:val="26283EB2"/>
    <w:rsid w:val="26E23DC6"/>
    <w:rsid w:val="29111AF1"/>
    <w:rsid w:val="295579BA"/>
    <w:rsid w:val="2C4241C8"/>
    <w:rsid w:val="2F2D32EB"/>
    <w:rsid w:val="2F534F90"/>
    <w:rsid w:val="2FE43113"/>
    <w:rsid w:val="30185EAC"/>
    <w:rsid w:val="31BC642E"/>
    <w:rsid w:val="31EE4882"/>
    <w:rsid w:val="333F7051"/>
    <w:rsid w:val="33F96FD6"/>
    <w:rsid w:val="381F3360"/>
    <w:rsid w:val="39EF7A7C"/>
    <w:rsid w:val="3E843922"/>
    <w:rsid w:val="3FB454E1"/>
    <w:rsid w:val="41243E57"/>
    <w:rsid w:val="43A623BD"/>
    <w:rsid w:val="43E1752F"/>
    <w:rsid w:val="4803283D"/>
    <w:rsid w:val="4B645A8C"/>
    <w:rsid w:val="4B8219EB"/>
    <w:rsid w:val="4C0130D0"/>
    <w:rsid w:val="4C2B118A"/>
    <w:rsid w:val="4C873D0A"/>
    <w:rsid w:val="4DE61182"/>
    <w:rsid w:val="4F4C28E7"/>
    <w:rsid w:val="4F7B43DD"/>
    <w:rsid w:val="51827267"/>
    <w:rsid w:val="52F97BD0"/>
    <w:rsid w:val="56B63A7F"/>
    <w:rsid w:val="56D4087D"/>
    <w:rsid w:val="57224BDA"/>
    <w:rsid w:val="5B6E25BC"/>
    <w:rsid w:val="5B7A51AB"/>
    <w:rsid w:val="5B7C6170"/>
    <w:rsid w:val="5CF27DD3"/>
    <w:rsid w:val="5F334CEB"/>
    <w:rsid w:val="60541B24"/>
    <w:rsid w:val="64BB1E86"/>
    <w:rsid w:val="65155FC3"/>
    <w:rsid w:val="683C6BCF"/>
    <w:rsid w:val="69BC0519"/>
    <w:rsid w:val="6A8F035A"/>
    <w:rsid w:val="6D320A99"/>
    <w:rsid w:val="6D901E35"/>
    <w:rsid w:val="6F6367E4"/>
    <w:rsid w:val="70B8096D"/>
    <w:rsid w:val="731E024A"/>
    <w:rsid w:val="75CB3919"/>
    <w:rsid w:val="76437B2F"/>
    <w:rsid w:val="76481548"/>
    <w:rsid w:val="77246C60"/>
    <w:rsid w:val="77E46B25"/>
    <w:rsid w:val="791B65A9"/>
    <w:rsid w:val="7D7F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rPr>
      <w:rFonts w:ascii="Times New Roman" w:hAnsi="Times New Roman" w:eastAsia="宋体" w:cs="Times New Roman"/>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2020-06-15T07:39:03Z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