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ind w:firstLine="3213" w:firstLineChars="1000"/>
        <w:rPr>
          <w:rFonts w:hint="eastAsia"/>
          <w:b/>
          <w:bCs/>
          <w:sz w:val="32"/>
          <w:szCs w:val="32"/>
          <w:lang w:val="en-US" w:eastAsia="zh-CN"/>
        </w:rPr>
      </w:pPr>
      <w:r>
        <w:rPr>
          <w:rFonts w:hint="eastAsia" w:ascii="宋体" w:hAnsi="宋体" w:eastAsia="宋体" w:cs="宋体"/>
          <w:b/>
          <w:bCs/>
          <w:i w:val="0"/>
          <w:caps w:val="0"/>
          <w:color w:val="333333"/>
          <w:spacing w:val="0"/>
          <w:sz w:val="32"/>
          <w:szCs w:val="32"/>
          <w:lang w:val="en-US" w:eastAsia="zh-CN"/>
        </w:rPr>
        <w:t>GMM数字胃肠机球管</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2020年6月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GMM数字胃肠机球管项目</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项</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160000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本项目为放射科意大利</w:t>
      </w:r>
      <w:r>
        <w:rPr>
          <w:rFonts w:hint="eastAsia" w:ascii="宋体" w:hAnsi="宋体"/>
          <w:sz w:val="24"/>
          <w:szCs w:val="24"/>
          <w:u w:val="single"/>
          <w:lang w:val="en-US" w:eastAsia="zh-CN"/>
        </w:rPr>
        <w:t>GMM数字胃肠机采购球管</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GMM数字胃肠机球管</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GMM数字胃肠机球管</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17"/>
        <w:gridCol w:w="725"/>
        <w:gridCol w:w="7061"/>
      </w:tblGrid>
      <w:tr>
        <w:tblPrEx>
          <w:tblCellMar>
            <w:top w:w="0" w:type="dxa"/>
            <w:left w:w="108" w:type="dxa"/>
            <w:bottom w:w="0" w:type="dxa"/>
            <w:right w:w="108" w:type="dxa"/>
          </w:tblCellMar>
        </w:tblPrEx>
        <w:trPr>
          <w:trHeight w:val="212"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能与由意大利GENERAL MEDICAL MERATE Spa公司生产的通用数字化X射线摄影系统（型号为OPERA FP）配套使用</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cs="宋体"/>
                <w:color w:val="000000"/>
                <w:sz w:val="21"/>
                <w:szCs w:val="21"/>
                <w:lang w:val="en-US" w:eastAsia="zh-CN"/>
              </w:rPr>
              <w:t>球管管芯型号为：RTC 600 HS</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3</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球管组件包含管芯和管套，型号为：C100</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4</w:t>
            </w:r>
          </w:p>
        </w:tc>
        <w:tc>
          <w:tcPr>
            <w:tcW w:w="7061"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cs="宋体"/>
                <w:color w:val="000000"/>
                <w:sz w:val="21"/>
                <w:szCs w:val="21"/>
                <w:lang w:val="en-US" w:eastAsia="zh-CN"/>
              </w:rPr>
              <w:t>双焦点：小焦点0.6mm，大焦点1.2mm</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5</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最大输出功率：43kw/100kw</w:t>
            </w:r>
            <w:r>
              <w:rPr>
                <w:rFonts w:hint="eastAsia" w:ascii="宋体" w:hAnsi="宋体" w:cs="宋体"/>
                <w:color w:val="000000"/>
                <w:sz w:val="21"/>
                <w:szCs w:val="21"/>
                <w:lang w:eastAsia="zh-CN"/>
              </w:rPr>
              <w:t>。</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6</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最高使用管电压：150kv。</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7</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球管阳极转速：10000转/分。</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8</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球管热容量；600KHU。</w:t>
            </w:r>
          </w:p>
        </w:tc>
      </w:tr>
      <w:tr>
        <w:tblPrEx>
          <w:tblCellMar>
            <w:top w:w="0" w:type="dxa"/>
            <w:left w:w="108" w:type="dxa"/>
            <w:bottom w:w="0" w:type="dxa"/>
            <w:right w:w="108" w:type="dxa"/>
          </w:tblCellMar>
        </w:tblPrEx>
        <w:trPr>
          <w:trHeight w:val="365" w:hRule="atLeast"/>
        </w:trPr>
        <w:tc>
          <w:tcPr>
            <w:tcW w:w="7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2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9</w:t>
            </w:r>
          </w:p>
        </w:tc>
        <w:tc>
          <w:tcPr>
            <w:tcW w:w="7061" w:type="dxa"/>
            <w:tcBorders>
              <w:top w:val="single" w:color="auto" w:sz="4" w:space="0"/>
              <w:left w:val="nil"/>
              <w:bottom w:val="single" w:color="auto" w:sz="4" w:space="0"/>
              <w:right w:val="single" w:color="auto" w:sz="4" w:space="0"/>
            </w:tcBorders>
            <w:vAlign w:val="center"/>
          </w:tcPr>
          <w:p>
            <w:pPr>
              <w:spacing w:line="240" w:lineRule="auto"/>
              <w:jc w:val="left"/>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球管风冷装置加油冷。</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投标产品应满足所有条款，否则</w:t>
            </w:r>
            <w:r>
              <w:rPr>
                <w:rFonts w:hint="eastAsia" w:ascii="宋体" w:hAnsi="宋体" w:cs="宋体"/>
                <w:b/>
                <w:bCs/>
                <w:color w:val="FF0000"/>
                <w:sz w:val="21"/>
                <w:szCs w:val="21"/>
                <w:lang w:val="en-US" w:eastAsia="zh-CN"/>
              </w:rPr>
              <w:t>取消投标资格。</w:t>
            </w:r>
          </w:p>
        </w:tc>
      </w:tr>
    </w:tbl>
    <w:p>
      <w:pPr>
        <w:spacing w:line="360" w:lineRule="auto"/>
        <w:ind w:right="57"/>
        <w:rPr>
          <w:rFonts w:hint="eastAsia" w:ascii="宋体" w:hAnsi="宋体" w:cs="宋体"/>
          <w:sz w:val="24"/>
          <w:szCs w:val="24"/>
        </w:rPr>
      </w:pPr>
    </w:p>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bookmarkStart w:id="1" w:name="_GoBack"/>
      <w:bookmarkEnd w:id="1"/>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rPr>
        <w:t>四、</w:t>
      </w:r>
      <w:r>
        <w:rPr>
          <w:rFonts w:hint="eastAsia" w:asciiTheme="minorEastAsia" w:hAnsiTheme="minorEastAsia"/>
          <w:b/>
          <w:bCs/>
          <w:sz w:val="24"/>
          <w:szCs w:val="24"/>
          <w:lang w:val="en-US" w:eastAsia="zh-CN"/>
        </w:rPr>
        <w:t>资格性审查表</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A0F34"/>
    <w:rsid w:val="04DE236E"/>
    <w:rsid w:val="069429D0"/>
    <w:rsid w:val="069D5FAD"/>
    <w:rsid w:val="08DB2790"/>
    <w:rsid w:val="0E280BA1"/>
    <w:rsid w:val="10D51590"/>
    <w:rsid w:val="130F670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7B7F6D"/>
    <w:rsid w:val="2AB120F7"/>
    <w:rsid w:val="2B644CB6"/>
    <w:rsid w:val="2C4241C8"/>
    <w:rsid w:val="2F534F90"/>
    <w:rsid w:val="2FE43113"/>
    <w:rsid w:val="31EE4882"/>
    <w:rsid w:val="333F7051"/>
    <w:rsid w:val="33F96FD6"/>
    <w:rsid w:val="39EF7A7C"/>
    <w:rsid w:val="3E843922"/>
    <w:rsid w:val="3FB454E1"/>
    <w:rsid w:val="3FDF22A2"/>
    <w:rsid w:val="43E1752F"/>
    <w:rsid w:val="4803283D"/>
    <w:rsid w:val="48A43FDF"/>
    <w:rsid w:val="4ADF0ABA"/>
    <w:rsid w:val="4B645A8C"/>
    <w:rsid w:val="4B8219EB"/>
    <w:rsid w:val="4C0130D0"/>
    <w:rsid w:val="4C2B118A"/>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2020-06-15T07:56:36Z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