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val="0"/>
          <w:bCs w:val="0"/>
          <w:sz w:val="28"/>
          <w:szCs w:val="28"/>
          <w:lang w:val="en-US" w:eastAsia="zh-CN"/>
        </w:rPr>
        <w:t>康巴什部检验科通风改造工程（二次</w:t>
      </w:r>
      <w:bookmarkStart w:id="1" w:name="_GoBack"/>
      <w:bookmarkEnd w:id="1"/>
      <w:r>
        <w:rPr>
          <w:rFonts w:hint="eastAsia"/>
          <w:b w:val="0"/>
          <w:bCs w:val="0"/>
          <w:sz w:val="28"/>
          <w:szCs w:val="28"/>
          <w:lang w:val="en-US" w:eastAsia="zh-CN"/>
        </w:rPr>
        <w:t>）</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2020年6月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工程信息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7"/>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539"/>
        <w:gridCol w:w="2540"/>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09" w:type="dxa"/>
            <w:noWrap w:val="0"/>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项目名称</w:t>
            </w:r>
          </w:p>
        </w:tc>
        <w:tc>
          <w:tcPr>
            <w:tcW w:w="6611" w:type="dxa"/>
            <w:gridSpan w:val="3"/>
            <w:noWrap w:val="0"/>
            <w:vAlign w:val="center"/>
          </w:tcPr>
          <w:p>
            <w:pPr>
              <w:jc w:val="center"/>
              <w:rPr>
                <w:rFonts w:hint="default" w:ascii="宋体" w:hAnsi="宋体" w:eastAsia="宋体" w:cs="宋体"/>
                <w:b w:val="0"/>
                <w:bCs/>
                <w:sz w:val="24"/>
                <w:szCs w:val="24"/>
                <w:lang w:val="en-US" w:eastAsia="zh-CN"/>
              </w:rPr>
            </w:pPr>
            <w:r>
              <w:rPr>
                <w:rFonts w:hint="eastAsia" w:ascii="宋体" w:hAnsi="宋体" w:cs="宋体"/>
                <w:i w:val="0"/>
                <w:caps w:val="0"/>
                <w:color w:val="333333"/>
                <w:spacing w:val="0"/>
                <w:sz w:val="24"/>
                <w:szCs w:val="24"/>
                <w:lang w:val="en-US" w:eastAsia="zh-CN"/>
              </w:rPr>
              <w:t>康巴什部检验科通风改造</w:t>
            </w:r>
            <w:r>
              <w:rPr>
                <w:rFonts w:hint="eastAsia" w:ascii="宋体" w:hAnsi="宋体" w:cs="宋体"/>
                <w:b w:val="0"/>
                <w:bCs/>
                <w:sz w:val="24"/>
                <w:szCs w:val="24"/>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09" w:type="dxa"/>
            <w:noWrap w:val="0"/>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施工地点</w:t>
            </w:r>
          </w:p>
        </w:tc>
        <w:tc>
          <w:tcPr>
            <w:tcW w:w="6611" w:type="dxa"/>
            <w:gridSpan w:val="3"/>
            <w:noWrap w:val="0"/>
            <w:vAlign w:val="center"/>
          </w:tcPr>
          <w:p>
            <w:pPr>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中心医院康巴什部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09" w:type="dxa"/>
            <w:noWrap w:val="0"/>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工   期</w:t>
            </w:r>
          </w:p>
        </w:tc>
        <w:tc>
          <w:tcPr>
            <w:tcW w:w="2539" w:type="dxa"/>
            <w:noWrap w:val="0"/>
            <w:vAlign w:val="center"/>
          </w:tcPr>
          <w:p>
            <w:pPr>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30天</w:t>
            </w:r>
          </w:p>
        </w:tc>
        <w:tc>
          <w:tcPr>
            <w:tcW w:w="2540" w:type="dxa"/>
            <w:noWrap w:val="0"/>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质保期</w:t>
            </w:r>
          </w:p>
        </w:tc>
        <w:tc>
          <w:tcPr>
            <w:tcW w:w="1532" w:type="dxa"/>
            <w:noWrap w:val="0"/>
            <w:vAlign w:val="center"/>
          </w:tcPr>
          <w:p>
            <w:pPr>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09" w:type="dxa"/>
            <w:noWrap w:val="0"/>
            <w:vAlign w:val="center"/>
          </w:tcPr>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预算金额</w:t>
            </w:r>
          </w:p>
        </w:tc>
        <w:tc>
          <w:tcPr>
            <w:tcW w:w="6611" w:type="dxa"/>
            <w:gridSpan w:val="3"/>
            <w:noWrap w:val="0"/>
            <w:vAlign w:val="center"/>
          </w:tcPr>
          <w:p>
            <w:pPr>
              <w:ind w:firstLine="2400" w:firstLineChars="1000"/>
              <w:jc w:val="both"/>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189510元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09" w:type="dxa"/>
            <w:noWrap w:val="0"/>
            <w:vAlign w:val="center"/>
          </w:tcPr>
          <w:p>
            <w:pPr>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进场时间</w:t>
            </w:r>
          </w:p>
        </w:tc>
        <w:tc>
          <w:tcPr>
            <w:tcW w:w="6611" w:type="dxa"/>
            <w:gridSpan w:val="3"/>
            <w:noWrap w:val="0"/>
            <w:vAlign w:val="center"/>
          </w:tcPr>
          <w:p>
            <w:pPr>
              <w:ind w:firstLine="2400" w:firstLineChars="1000"/>
              <w:jc w:val="both"/>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合同签订后5日内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09" w:type="dxa"/>
            <w:noWrap w:val="0"/>
            <w:vAlign w:val="center"/>
          </w:tcPr>
          <w:p>
            <w:pPr>
              <w:jc w:val="center"/>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付款方式</w:t>
            </w:r>
          </w:p>
        </w:tc>
        <w:tc>
          <w:tcPr>
            <w:tcW w:w="6611" w:type="dxa"/>
            <w:gridSpan w:val="3"/>
            <w:noWrap w:val="0"/>
            <w:vAlign w:val="center"/>
          </w:tcPr>
          <w:p>
            <w:pPr>
              <w:jc w:val="both"/>
              <w:rPr>
                <w:rFonts w:hint="default" w:ascii="宋体" w:hAnsi="宋体" w:cs="宋体"/>
                <w:b w:val="0"/>
                <w:bCs/>
                <w:sz w:val="24"/>
                <w:szCs w:val="24"/>
                <w:lang w:val="en-US" w:eastAsia="zh-CN"/>
              </w:rPr>
            </w:pPr>
            <w:r>
              <w:rPr>
                <w:rFonts w:hint="eastAsia" w:ascii="宋体" w:hAnsi="宋体" w:cs="宋体"/>
                <w:b w:val="0"/>
                <w:bCs w:val="0"/>
                <w:i w:val="0"/>
                <w:caps w:val="0"/>
                <w:color w:val="333333"/>
                <w:spacing w:val="0"/>
                <w:sz w:val="24"/>
                <w:szCs w:val="24"/>
                <w:lang w:val="en-US" w:eastAsia="zh-CN"/>
              </w:rPr>
              <w:t>工程完工验收合格后付90%，剩余10%质保金1年质保期满付讫，具体工程价款以审计部门审定金额为准。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spacing w:line="360" w:lineRule="auto"/>
        <w:ind w:firstLine="240" w:firstLineChars="100"/>
        <w:jc w:val="left"/>
        <w:rPr>
          <w:rFonts w:hint="eastAsia" w:hAnsi="宋体"/>
          <w:sz w:val="24"/>
          <w:szCs w:val="24"/>
        </w:rPr>
      </w:pPr>
      <w:r>
        <w:rPr>
          <w:rFonts w:hint="eastAsia" w:hAnsi="宋体"/>
          <w:sz w:val="24"/>
          <w:szCs w:val="24"/>
        </w:rPr>
        <w:t>二.</w:t>
      </w:r>
      <w:r>
        <w:rPr>
          <w:rFonts w:hint="eastAsia" w:hAnsi="宋体"/>
          <w:sz w:val="24"/>
          <w:szCs w:val="24"/>
          <w:lang w:val="en-US" w:eastAsia="zh-CN"/>
        </w:rPr>
        <w:t>施工要求</w:t>
      </w:r>
      <w:r>
        <w:rPr>
          <w:rFonts w:hint="eastAsia" w:hAnsi="宋体"/>
          <w:sz w:val="24"/>
          <w:szCs w:val="24"/>
        </w:rPr>
        <w:t>：</w:t>
      </w:r>
    </w:p>
    <w:p>
      <w:pPr>
        <w:widowControl w:val="0"/>
        <w:wordWrap/>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设备工艺说明：</w:t>
      </w:r>
    </w:p>
    <w:p>
      <w:pPr>
        <w:widowControl w:val="0"/>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通风柜主要由水、电、气通风一体制，内装多功能电源插座，便于实验室过程中使用其它电气设备，采用快开阀，使实验室过程中用水方便，前档板为可上下移动玻璃门，顶部为低速风机，可将实验过程中的有味气体顺利排出，工作面底部装有不锈钢水槽，可将消毒液、实验残留物通过水</w:t>
      </w:r>
      <w:r>
        <w:rPr>
          <w:rFonts w:hint="eastAsia" w:asciiTheme="minorEastAsia" w:hAnsiTheme="minorEastAsia" w:eastAsiaTheme="minorEastAsia" w:cstheme="minorEastAsia"/>
          <w:sz w:val="24"/>
          <w:szCs w:val="24"/>
          <w:lang w:eastAsia="zh-CN"/>
        </w:rPr>
        <w:t>槽</w:t>
      </w:r>
      <w:r>
        <w:rPr>
          <w:rFonts w:hint="eastAsia" w:asciiTheme="minorEastAsia" w:hAnsiTheme="minorEastAsia" w:eastAsiaTheme="minorEastAsia" w:cstheme="minorEastAsia"/>
          <w:sz w:val="24"/>
          <w:szCs w:val="24"/>
        </w:rPr>
        <w:t>排出，保护实验环境安全、可靠。而当操作窗全闭合时，上部与下部同时补风，不会因负压引起噪音及玻璃窗震动的现象。</w:t>
      </w:r>
    </w:p>
    <w:p>
      <w:pPr>
        <w:widowControl w:val="0"/>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用通风柜的最大目的是排出实验中产生的有害气体，保护实验人员的健康，也就是说要有高度的安全性和优越的操作性，这就要求通风柜应具有如下功能：    </w:t>
      </w:r>
    </w:p>
    <w:p>
      <w:pPr>
        <w:widowControl w:val="0"/>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1、隔离功能：在通风柜前面应具用不滑动的玻璃视窗将通风柜内外进行分隔。   </w:t>
      </w:r>
    </w:p>
    <w:p>
      <w:pPr>
        <w:widowControl w:val="0"/>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2、释放功能：应具备将通风柜内部产生的有害气体用吸收柜外气体的方式，使其稀释后排除室外的结构。</w:t>
      </w:r>
    </w:p>
    <w:p>
      <w:pPr>
        <w:widowControl w:val="0"/>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3、补充功能：应具有在排出有害气体时，从通风柜外吸入空气的通道或替代装置。   </w:t>
      </w:r>
    </w:p>
    <w:p>
      <w:pPr>
        <w:widowControl w:val="0"/>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4、不倒流功能：应具有在通风柜内部由排风机产生的气流将有害气体从通风柜内部不反向流进室内的功能。     </w:t>
      </w:r>
    </w:p>
    <w:p>
      <w:pPr>
        <w:widowControl w:val="0"/>
        <w:wordWrap/>
        <w:adjustRightInd/>
        <w:snapToGrid/>
        <w:spacing w:line="360" w:lineRule="auto"/>
        <w:ind w:firstLine="480"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sz w:val="24"/>
          <w:szCs w:val="24"/>
        </w:rPr>
        <w:t>5、控制风速功能：为防止通风柜内有害气体逸出，需要有一定的吸入速度。 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eastAsia="zh-CN"/>
        </w:rPr>
        <w:t>土建、安装说明：</w:t>
      </w:r>
    </w:p>
    <w:p>
      <w:pPr>
        <w:widowControl w:val="0"/>
        <w:numPr>
          <w:ilvl w:val="0"/>
          <w:numId w:val="0"/>
        </w:numPr>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根据现场勘察，因室内条件限制，风管走向不能在原有系统及室内实现，固，本系统沿现采血室向西通过公共走廊从外墙窗户出室外（风管走向后附图</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w:t>
      </w:r>
    </w:p>
    <w:p>
      <w:pPr>
        <w:widowControl w:val="0"/>
        <w:numPr>
          <w:ilvl w:val="0"/>
          <w:numId w:val="0"/>
        </w:numPr>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设备安装前，室内部分施工，需将风管安装位置的原有室内屋面吊顶全部拆除；进行原砌筑墙体开洞；风管的吊杆设置；风管安装；风管与通风柜连接；连接通风柜水源、电源；室内吊顶恢复安装。</w:t>
      </w:r>
    </w:p>
    <w:p>
      <w:pPr>
        <w:widowControl w:val="0"/>
        <w:numPr>
          <w:ilvl w:val="0"/>
          <w:numId w:val="0"/>
        </w:numPr>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根据现场勘察，室内风管出室外，需经公共走道外窗顶部固定窗扇处除外墙，这样可避免在主体结构开洞，避免对主体结构安全造成安全隐患。</w:t>
      </w:r>
    </w:p>
    <w:p>
      <w:pPr>
        <w:widowControl w:val="0"/>
        <w:numPr>
          <w:ilvl w:val="0"/>
          <w:numId w:val="0"/>
        </w:numPr>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风管出室外，沿外墙延伸至屋面，风管沿外墙部分说外墙可靠连接。</w:t>
      </w:r>
    </w:p>
    <w:p>
      <w:pPr>
        <w:widowControl w:val="0"/>
        <w:numPr>
          <w:ilvl w:val="0"/>
          <w:numId w:val="0"/>
        </w:numPr>
        <w:wordWrap/>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五</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屋面设置排风量为</w:t>
      </w:r>
      <w:r>
        <w:rPr>
          <w:rFonts w:hint="eastAsia" w:asciiTheme="minorEastAsia" w:hAnsiTheme="minorEastAsia" w:eastAsiaTheme="minorEastAsia" w:cstheme="minorEastAsia"/>
          <w:sz w:val="24"/>
          <w:szCs w:val="24"/>
          <w:lang w:val="en-US" w:eastAsia="zh-CN"/>
        </w:rPr>
        <w:t>10000立方/小时风机与风管连接，风管末端出风口高出屋面3米。</w:t>
      </w:r>
    </w:p>
    <w:p>
      <w:pPr>
        <w:widowControl w:val="0"/>
        <w:numPr>
          <w:ilvl w:val="0"/>
          <w:numId w:val="0"/>
        </w:numPr>
        <w:wordWrap/>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通过本次改造后，可解决检验科离心机实验设备的通风要求。</w:t>
      </w:r>
    </w:p>
    <w:p>
      <w:pPr>
        <w:widowControl w:val="0"/>
        <w:numPr>
          <w:ilvl w:val="0"/>
          <w:numId w:val="0"/>
        </w:numPr>
        <w:wordWrap/>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附件1</w:t>
      </w:r>
      <w:r>
        <w:rPr>
          <w:rFonts w:hint="eastAsia" w:asciiTheme="minorEastAsia" w:hAnsiTheme="minorEastAsia" w:eastAsiaTheme="minorEastAsia" w:cstheme="minorEastAsia"/>
          <w:sz w:val="24"/>
          <w:szCs w:val="24"/>
          <w:lang w:val="en-US" w:eastAsia="zh-CN"/>
        </w:rPr>
        <w:t>：风管平面布置图</w:t>
      </w:r>
    </w:p>
    <w:p>
      <w:pPr>
        <w:spacing w:line="360" w:lineRule="auto"/>
        <w:ind w:firstLine="240" w:firstLineChars="100"/>
        <w:jc w:val="left"/>
        <w:rPr>
          <w:rFonts w:hint="eastAsia" w:hAnsi="宋体"/>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20" w:firstLineChars="200"/>
        <w:textAlignment w:val="auto"/>
        <w:rPr>
          <w:rFonts w:hint="eastAsia" w:ascii="宋体" w:hAnsi="宋体" w:eastAsia="宋体" w:cs="宋体"/>
          <w:kern w:val="0"/>
          <w:sz w:val="24"/>
          <w:szCs w:val="24"/>
          <w:lang w:val="en-US" w:eastAsia="zh-CN"/>
        </w:rPr>
      </w:pPr>
      <w:r>
        <w:rPr>
          <w:rFonts w:hint="eastAsia" w:ascii="Calibri" w:hAnsi="Calibri" w:eastAsia="宋体" w:cs="黑体"/>
          <w:kern w:val="2"/>
          <w:sz w:val="21"/>
          <w:szCs w:val="24"/>
          <w:lang w:val="en-US" w:eastAsia="zh-CN" w:bidi="ar-SA"/>
        </w:rPr>
        <w:drawing>
          <wp:inline distT="0" distB="0" distL="114300" distR="114300">
            <wp:extent cx="7820660" cy="5550535"/>
            <wp:effectExtent l="0" t="0" r="12065" b="88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lum/>
                    </a:blip>
                    <a:stretch>
                      <a:fillRect/>
                    </a:stretch>
                  </pic:blipFill>
                  <pic:spPr>
                    <a:xfrm rot="16200000">
                      <a:off x="0" y="0"/>
                      <a:ext cx="7820660" cy="55505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textAlignment w:val="auto"/>
        <w:rPr>
          <w:rFonts w:hint="eastAsia" w:ascii="宋体" w:hAnsi="宋体" w:eastAsia="宋体" w:cs="宋体"/>
          <w:kern w:val="0"/>
          <w:sz w:val="24"/>
          <w:szCs w:val="24"/>
          <w:lang w:val="en-US" w:eastAsia="zh-CN"/>
        </w:rPr>
      </w:pPr>
    </w:p>
    <w:p>
      <w:pPr>
        <w:spacing w:line="360" w:lineRule="auto"/>
        <w:rPr>
          <w:rFonts w:hint="default" w:asciiTheme="minorEastAsia" w:hAnsiTheme="minorEastAsia"/>
          <w:sz w:val="24"/>
          <w:szCs w:val="24"/>
          <w:lang w:val="en-US" w:eastAsia="zh-CN"/>
        </w:rPr>
      </w:pPr>
    </w:p>
    <w:p>
      <w:pPr>
        <w:spacing w:line="360" w:lineRule="auto"/>
        <w:rPr>
          <w:rFonts w:hint="default" w:asciiTheme="minorEastAsia" w:hAnsiTheme="minorEastAsia"/>
          <w:sz w:val="24"/>
          <w:szCs w:val="24"/>
          <w:lang w:val="en-US" w:eastAsia="zh-CN"/>
        </w:rPr>
      </w:pPr>
    </w:p>
    <w:p>
      <w:pPr>
        <w:spacing w:line="360" w:lineRule="auto"/>
        <w:ind w:firstLine="480"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sz w:val="24"/>
          <w:szCs w:val="24"/>
        </w:rPr>
        <w:t>四、评标方法及细则要求</w:t>
      </w:r>
      <w:r>
        <w:rPr>
          <w:rFonts w:hint="eastAsia" w:asciiTheme="minorEastAsia" w:hAnsiTheme="minorEastAsia"/>
          <w:sz w:val="24"/>
          <w:szCs w:val="24"/>
          <w:lang w:eastAsia="zh-CN"/>
        </w:rPr>
        <w:t>：</w:t>
      </w:r>
      <w:r>
        <w:rPr>
          <w:rFonts w:hint="eastAsia" w:asciiTheme="minorEastAsia" w:hAnsiTheme="minorEastAsia"/>
          <w:b/>
          <w:bCs/>
          <w:color w:val="FF0000"/>
          <w:sz w:val="24"/>
          <w:szCs w:val="24"/>
          <w:lang w:val="en-US" w:eastAsia="zh-CN"/>
        </w:rPr>
        <w:t>合理低价法</w:t>
      </w:r>
    </w:p>
    <w:p>
      <w:pPr>
        <w:spacing w:line="360" w:lineRule="auto"/>
        <w:ind w:firstLine="420" w:firstLineChars="200"/>
        <w:rPr>
          <w:rFonts w:hint="eastAsia" w:ascii="宋体" w:hAnsi="宋体" w:cs="宋体"/>
          <w:b w:val="0"/>
          <w:bCs/>
          <w:kern w:val="0"/>
          <w:sz w:val="21"/>
          <w:szCs w:val="21"/>
          <w:lang w:val="en-US" w:eastAsia="zh-CN"/>
        </w:rPr>
      </w:pP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投标保证金3000元。成功缴纳保证金后，需持银行出具的回执单到财务科811室换取收据。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4.投标保证金退回流程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投标保证金</w:t>
      </w:r>
      <w:r>
        <w:rPr>
          <w:rFonts w:hint="eastAsia" w:ascii="宋体" w:hAnsi="宋体" w:cs="宋体"/>
          <w:b/>
          <w:bCs/>
          <w:i w:val="0"/>
          <w:caps w:val="0"/>
          <w:color w:val="FF0000"/>
          <w:spacing w:val="0"/>
          <w:sz w:val="24"/>
          <w:szCs w:val="24"/>
          <w:lang w:val="en-US" w:eastAsia="zh-CN"/>
        </w:rPr>
        <w:t>未中标的厂家在开标结束后退还。中标单位</w:t>
      </w:r>
      <w:r>
        <w:rPr>
          <w:rFonts w:hint="eastAsia" w:ascii="宋体" w:hAnsi="宋体" w:eastAsia="宋体" w:cs="宋体"/>
          <w:b/>
          <w:bCs/>
          <w:color w:val="FF0000"/>
          <w:sz w:val="24"/>
          <w:szCs w:val="24"/>
          <w:lang w:val="en-US" w:eastAsia="zh-CN"/>
        </w:rPr>
        <w:t>待工程验收合格后退还。保证金的退还需先经总务科负责人审核签字，然后持工程验收单及保证金收据到招标办签字或盖章，最后经财务科负责人签字后办理退还。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六、投标保证金</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七、施工组织设计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八、项目管理机构</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九、保障措施</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十、商务规格响应表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十一、供应商相关业绩情况证明材料</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十四、参加政府采购前三年内在经营活动中无重大违法记录书面声明 </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十五、其他证明材料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投标保证金</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（提供收据复印件）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施工组织设计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拟投入工程设备表</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1258"/>
        <w:gridCol w:w="804"/>
        <w:gridCol w:w="1487"/>
        <w:gridCol w:w="1412"/>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设备</w:t>
            </w:r>
            <w:r>
              <w:rPr>
                <w:rFonts w:hint="eastAsia" w:ascii="宋体" w:hAnsi="宋体" w:eastAsia="宋体"/>
                <w:color w:val="000000"/>
                <w:sz w:val="24"/>
                <w:szCs w:val="24"/>
              </w:rPr>
              <w:t>名称</w:t>
            </w:r>
          </w:p>
        </w:tc>
        <w:tc>
          <w:tcPr>
            <w:tcW w:w="1258" w:type="dxa"/>
            <w:tcBorders>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eastAsia="宋体"/>
                <w:color w:val="000000"/>
                <w:sz w:val="24"/>
                <w:szCs w:val="24"/>
              </w:rPr>
              <w:t>型号</w:t>
            </w:r>
            <w:r>
              <w:rPr>
                <w:rFonts w:hint="eastAsia" w:ascii="宋体" w:hAnsi="宋体" w:eastAsia="宋体"/>
                <w:color w:val="000000"/>
                <w:sz w:val="24"/>
                <w:szCs w:val="24"/>
                <w:lang w:val="en-US" w:eastAsia="zh-CN"/>
              </w:rPr>
              <w:t>规格</w:t>
            </w:r>
          </w:p>
        </w:tc>
        <w:tc>
          <w:tcPr>
            <w:tcW w:w="804" w:type="dxa"/>
            <w:tcBorders>
              <w:lef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数量</w:t>
            </w:r>
          </w:p>
        </w:tc>
        <w:tc>
          <w:tcPr>
            <w:tcW w:w="1487" w:type="dxa"/>
            <w:tcBorders>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国别产地</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制造年份</w:t>
            </w:r>
          </w:p>
        </w:tc>
        <w:tc>
          <w:tcPr>
            <w:tcW w:w="1699" w:type="dxa"/>
            <w:tcBorders>
              <w:lef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用于施工部位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附表2</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劳动力计划表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工种</w:t>
            </w:r>
          </w:p>
        </w:tc>
        <w:tc>
          <w:tcPr>
            <w:tcW w:w="7457" w:type="dxa"/>
            <w:gridSpan w:val="7"/>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项目管理机构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11"/>
        <w:gridCol w:w="1219"/>
        <w:gridCol w:w="1063"/>
        <w:gridCol w:w="2"/>
        <w:gridCol w:w="1065"/>
        <w:gridCol w:w="11"/>
        <w:gridCol w:w="105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职务</w:t>
            </w:r>
          </w:p>
        </w:tc>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911"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w:t>
            </w:r>
          </w:p>
        </w:tc>
        <w:tc>
          <w:tcPr>
            <w:tcW w:w="4415" w:type="dxa"/>
            <w:gridSpan w:val="6"/>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执业或职业资格证明</w:t>
            </w:r>
          </w:p>
        </w:tc>
        <w:tc>
          <w:tcPr>
            <w:tcW w:w="1066"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证书名称</w:t>
            </w:r>
          </w:p>
        </w:tc>
        <w:tc>
          <w:tcPr>
            <w:tcW w:w="1063"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级别</w:t>
            </w:r>
          </w:p>
        </w:tc>
        <w:tc>
          <w:tcPr>
            <w:tcW w:w="1078" w:type="dxa"/>
            <w:gridSpan w:val="3"/>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证号</w:t>
            </w:r>
          </w:p>
        </w:tc>
        <w:tc>
          <w:tcPr>
            <w:tcW w:w="105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w:t>
            </w:r>
          </w:p>
        </w:tc>
        <w:tc>
          <w:tcPr>
            <w:tcW w:w="1066"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九、保障措施</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施工现场维护措施、文明施工措施、安全保障措施等（格式自拟）</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十、商务条款响应表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十一、相关业绩证明材料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十二、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十四、参加政府采购前三年内在经营活动中无重大违法记录书面声明 </w:t>
      </w:r>
    </w:p>
    <w:p>
      <w:pPr>
        <w:tabs>
          <w:tab w:val="left" w:pos="876"/>
        </w:tabs>
        <w:bidi w:val="0"/>
        <w:jc w:val="left"/>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十五、其他材料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240CE15E"/>
    <w:multiLevelType w:val="singleLevel"/>
    <w:tmpl w:val="240CE15E"/>
    <w:lvl w:ilvl="0" w:tentative="0">
      <w:start w:val="6"/>
      <w:numFmt w:val="chineseCounting"/>
      <w:suff w:val="nothing"/>
      <w:lvlText w:val="%1、"/>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8B576F"/>
    <w:rsid w:val="027E2104"/>
    <w:rsid w:val="030D75C3"/>
    <w:rsid w:val="036A0F34"/>
    <w:rsid w:val="04D74F47"/>
    <w:rsid w:val="069429D0"/>
    <w:rsid w:val="069D5FAD"/>
    <w:rsid w:val="07C64EDC"/>
    <w:rsid w:val="08DB2790"/>
    <w:rsid w:val="0C8920AB"/>
    <w:rsid w:val="0E280BA1"/>
    <w:rsid w:val="0E8F386B"/>
    <w:rsid w:val="10D51590"/>
    <w:rsid w:val="141960BC"/>
    <w:rsid w:val="14511D5D"/>
    <w:rsid w:val="14597EA8"/>
    <w:rsid w:val="14A30191"/>
    <w:rsid w:val="18121689"/>
    <w:rsid w:val="18803BFB"/>
    <w:rsid w:val="1B031D68"/>
    <w:rsid w:val="225B4788"/>
    <w:rsid w:val="23C451C6"/>
    <w:rsid w:val="26283EB2"/>
    <w:rsid w:val="26E23DC6"/>
    <w:rsid w:val="29111AF1"/>
    <w:rsid w:val="295579BA"/>
    <w:rsid w:val="2C4241C8"/>
    <w:rsid w:val="2F534F90"/>
    <w:rsid w:val="2FE43113"/>
    <w:rsid w:val="31EE4882"/>
    <w:rsid w:val="333F7051"/>
    <w:rsid w:val="33F96FD6"/>
    <w:rsid w:val="34481B5C"/>
    <w:rsid w:val="38BD12DD"/>
    <w:rsid w:val="39EF7A7C"/>
    <w:rsid w:val="3E843922"/>
    <w:rsid w:val="3FB454E1"/>
    <w:rsid w:val="43E1752F"/>
    <w:rsid w:val="4803283D"/>
    <w:rsid w:val="4B645A8C"/>
    <w:rsid w:val="4B8219EB"/>
    <w:rsid w:val="4C0130D0"/>
    <w:rsid w:val="4C2B118A"/>
    <w:rsid w:val="4C873D0A"/>
    <w:rsid w:val="4DE61182"/>
    <w:rsid w:val="4E7D75B9"/>
    <w:rsid w:val="4F4C28E7"/>
    <w:rsid w:val="4FD40F9E"/>
    <w:rsid w:val="51827267"/>
    <w:rsid w:val="52F97BD0"/>
    <w:rsid w:val="56B63A7F"/>
    <w:rsid w:val="56D4087D"/>
    <w:rsid w:val="57224BDA"/>
    <w:rsid w:val="5A5D2403"/>
    <w:rsid w:val="5B6E25BC"/>
    <w:rsid w:val="5B7C6170"/>
    <w:rsid w:val="5CBB64D2"/>
    <w:rsid w:val="5CF27DD3"/>
    <w:rsid w:val="5E132A05"/>
    <w:rsid w:val="5F334CEB"/>
    <w:rsid w:val="5FB4161A"/>
    <w:rsid w:val="60541B24"/>
    <w:rsid w:val="64BB1E86"/>
    <w:rsid w:val="66343542"/>
    <w:rsid w:val="667B1E6E"/>
    <w:rsid w:val="66A65A6B"/>
    <w:rsid w:val="683C6BCF"/>
    <w:rsid w:val="69BC0519"/>
    <w:rsid w:val="6A8F035A"/>
    <w:rsid w:val="6BBC6069"/>
    <w:rsid w:val="6D320A99"/>
    <w:rsid w:val="6D901E35"/>
    <w:rsid w:val="6DA01355"/>
    <w:rsid w:val="6F6367E4"/>
    <w:rsid w:val="731E024A"/>
    <w:rsid w:val="758F3DF0"/>
    <w:rsid w:val="75CB3919"/>
    <w:rsid w:val="76437B2F"/>
    <w:rsid w:val="77246C60"/>
    <w:rsid w:val="77D96CDB"/>
    <w:rsid w:val="77E46B25"/>
    <w:rsid w:val="791B65A9"/>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2"/>
    <w:basedOn w:val="9"/>
    <w:qFormat/>
    <w:uiPriority w:val="0"/>
    <w:rPr>
      <w:rFonts w:hint="eastAsia" w:ascii="宋体" w:hAnsi="宋体" w:eastAsia="宋体" w:cs="宋体"/>
      <w:b/>
      <w:color w:val="000000"/>
      <w:sz w:val="24"/>
      <w:szCs w:val="24"/>
      <w:u w:val="none"/>
    </w:rPr>
  </w:style>
  <w:style w:type="character" w:customStyle="1" w:styleId="11">
    <w:name w:val="font81"/>
    <w:basedOn w:val="9"/>
    <w:qFormat/>
    <w:uiPriority w:val="0"/>
    <w:rPr>
      <w:rFonts w:hint="eastAsia" w:ascii="宋体" w:hAnsi="宋体" w:eastAsia="宋体" w:cs="宋体"/>
      <w:color w:val="000000"/>
      <w:sz w:val="20"/>
      <w:szCs w:val="20"/>
      <w:u w:val="none"/>
    </w:rPr>
  </w:style>
  <w:style w:type="character" w:customStyle="1" w:styleId="12">
    <w:name w:val="font101"/>
    <w:basedOn w:val="9"/>
    <w:qFormat/>
    <w:uiPriority w:val="0"/>
    <w:rPr>
      <w:rFonts w:hint="eastAsia" w:ascii="宋体" w:hAnsi="宋体" w:eastAsia="宋体" w:cs="宋体"/>
      <w:b/>
      <w:color w:val="000000"/>
      <w:sz w:val="24"/>
      <w:szCs w:val="24"/>
      <w:u w:val="none"/>
    </w:rPr>
  </w:style>
  <w:style w:type="character" w:customStyle="1" w:styleId="13">
    <w:name w:val="font14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2020-06-22T00:47:08Z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