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5"/>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spacing w:line="360" w:lineRule="auto"/>
        <w:jc w:val="center"/>
        <w:rPr>
          <w:rFonts w:hint="eastAsia"/>
          <w:b/>
          <w:bCs/>
          <w:sz w:val="32"/>
          <w:szCs w:val="32"/>
          <w:lang w:val="en-US" w:eastAsia="zh-CN"/>
        </w:rPr>
      </w:pPr>
      <w:r>
        <w:rPr>
          <w:rFonts w:hint="eastAsia" w:ascii="宋体" w:hAnsi="宋体" w:cs="宋体"/>
          <w:b/>
          <w:bCs/>
          <w:sz w:val="32"/>
          <w:szCs w:val="32"/>
          <w:lang w:val="en-US" w:eastAsia="zh-CN"/>
        </w:rPr>
        <w:t>消防系统及设备设施维保、检测服务</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default"/>
          <w:b/>
          <w:bCs/>
          <w:sz w:val="28"/>
          <w:szCs w:val="28"/>
          <w:lang w:val="en-US" w:eastAsia="zh-CN"/>
        </w:rPr>
      </w:pPr>
      <w:r>
        <w:rPr>
          <w:rFonts w:hint="eastAsia"/>
          <w:b/>
          <w:bCs/>
          <w:sz w:val="28"/>
          <w:szCs w:val="28"/>
          <w:lang w:val="en-US" w:eastAsia="zh-CN"/>
        </w:rPr>
        <w:t>2020年7月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val="0"/>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第一章 项目信息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w:t>
      </w:r>
    </w:p>
    <w:tbl>
      <w:tblPr>
        <w:tblStyle w:val="8"/>
        <w:tblW w:w="0" w:type="auto"/>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项目名称</w:t>
            </w:r>
          </w:p>
        </w:tc>
        <w:tc>
          <w:tcPr>
            <w:tcW w:w="661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sz w:val="24"/>
                <w:szCs w:val="24"/>
                <w:lang w:val="en-US" w:eastAsia="zh-CN"/>
              </w:rPr>
            </w:pPr>
            <w:r>
              <w:rPr>
                <w:rFonts w:hint="default" w:ascii="宋体" w:hAnsi="宋体" w:eastAsia="宋体" w:cs="宋体"/>
                <w:b w:val="0"/>
                <w:bCs/>
                <w:sz w:val="24"/>
                <w:szCs w:val="24"/>
                <w:lang w:val="en-US" w:eastAsia="zh-CN"/>
              </w:rPr>
              <w:t>消防系统及设备设施维保、检测</w:t>
            </w:r>
            <w:r>
              <w:rPr>
                <w:rFonts w:hint="eastAsia" w:ascii="宋体" w:hAnsi="宋体" w:cs="宋体"/>
                <w:b w:val="0"/>
                <w:bCs/>
                <w:sz w:val="24"/>
                <w:szCs w:val="24"/>
                <w:lang w:val="en-US" w:eastAsia="zh-CN"/>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服务</w:t>
            </w:r>
            <w:r>
              <w:rPr>
                <w:rFonts w:hint="eastAsia" w:ascii="宋体" w:hAnsi="宋体" w:eastAsia="宋体" w:cs="宋体"/>
                <w:b w:val="0"/>
                <w:bCs/>
                <w:sz w:val="24"/>
                <w:szCs w:val="24"/>
                <w:lang w:val="en-US" w:eastAsia="zh-CN"/>
              </w:rPr>
              <w:t>地点</w:t>
            </w:r>
          </w:p>
        </w:tc>
        <w:tc>
          <w:tcPr>
            <w:tcW w:w="6611"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鄂尔多斯市中心医院东、康两部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0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服务期</w:t>
            </w:r>
          </w:p>
        </w:tc>
        <w:tc>
          <w:tcPr>
            <w:tcW w:w="6611" w:type="dxa"/>
            <w:noWrap w:val="0"/>
            <w:vAlign w:val="center"/>
          </w:tcPr>
          <w:p>
            <w:pPr>
              <w:keepNext w:val="0"/>
              <w:keepLines w:val="0"/>
              <w:suppressLineNumbers w:val="0"/>
              <w:spacing w:before="0" w:beforeAutospacing="0" w:after="0" w:afterAutospacing="0"/>
              <w:ind w:left="0" w:right="0"/>
              <w:jc w:val="both"/>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合同服务期1年。经院方考核合格后，由院方决定可以续签第2、3年的服务合同。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预算金额</w:t>
            </w:r>
          </w:p>
        </w:tc>
        <w:tc>
          <w:tcPr>
            <w:tcW w:w="6611" w:type="dxa"/>
            <w:noWrap w:val="0"/>
            <w:vAlign w:val="center"/>
          </w:tcPr>
          <w:p>
            <w:pPr>
              <w:keepNext w:val="0"/>
              <w:keepLines w:val="0"/>
              <w:suppressLineNumbers w:val="0"/>
              <w:spacing w:before="0" w:beforeAutospacing="0" w:after="0" w:afterAutospacing="0"/>
              <w:ind w:left="0" w:right="0" w:firstLine="2400" w:firstLineChars="1000"/>
              <w:jc w:val="both"/>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496000元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进场时间</w:t>
            </w:r>
          </w:p>
        </w:tc>
        <w:tc>
          <w:tcPr>
            <w:tcW w:w="6611" w:type="dxa"/>
            <w:noWrap w:val="0"/>
            <w:vAlign w:val="center"/>
          </w:tcPr>
          <w:p>
            <w:pPr>
              <w:keepNext w:val="0"/>
              <w:keepLines w:val="0"/>
              <w:suppressLineNumbers w:val="0"/>
              <w:spacing w:before="0" w:beforeAutospacing="0" w:after="0" w:afterAutospacing="0"/>
              <w:ind w:left="0" w:right="0" w:firstLine="2400" w:firstLineChars="100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合同签订后7日内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09"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付款方式</w:t>
            </w:r>
          </w:p>
        </w:tc>
        <w:tc>
          <w:tcPr>
            <w:tcW w:w="6611" w:type="dxa"/>
            <w:noWrap w:val="0"/>
            <w:vAlign w:val="center"/>
          </w:tcPr>
          <w:p>
            <w:pPr>
              <w:keepNext w:val="0"/>
              <w:keepLines w:val="0"/>
              <w:suppressLineNumbers w:val="0"/>
              <w:spacing w:before="0" w:beforeAutospacing="0" w:after="0" w:afterAutospacing="0"/>
              <w:ind w:left="0" w:right="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服务满6个月后经考核合格支付合同金额的50%，服务满一年支付剩余50%。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509"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资质要求</w:t>
            </w:r>
          </w:p>
        </w:tc>
        <w:tc>
          <w:tcPr>
            <w:tcW w:w="6611" w:type="dxa"/>
            <w:noWrap w:val="0"/>
            <w:vAlign w:val="center"/>
          </w:tcPr>
          <w:p>
            <w:pPr>
              <w:keepNext w:val="0"/>
              <w:keepLines w:val="0"/>
              <w:suppressLineNumbers w:val="0"/>
              <w:spacing w:before="0" w:beforeAutospacing="0" w:after="0" w:afterAutospacing="0"/>
              <w:ind w:left="0" w:right="0"/>
              <w:jc w:val="both"/>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1.营业执照经营范围包括消防技术服务、消防设施检测维护和保养、消防施工和维修；2.在“内蒙古自治区消防技术服务执业管理平台”注册并使用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p>
    <w:p>
      <w:pPr>
        <w:spacing w:line="360" w:lineRule="auto"/>
        <w:ind w:firstLine="241" w:firstLineChars="100"/>
        <w:jc w:val="left"/>
        <w:rPr>
          <w:rFonts w:hint="eastAsia" w:hAnsi="宋体"/>
          <w:sz w:val="24"/>
          <w:szCs w:val="24"/>
        </w:rPr>
      </w:pPr>
      <w:r>
        <w:rPr>
          <w:rFonts w:hint="eastAsia" w:hAnsi="宋体"/>
          <w:b/>
          <w:bCs/>
          <w:sz w:val="24"/>
          <w:szCs w:val="24"/>
        </w:rPr>
        <w:t>二.</w:t>
      </w:r>
      <w:r>
        <w:rPr>
          <w:rFonts w:hint="eastAsia" w:hAnsi="宋体"/>
          <w:b/>
          <w:bCs/>
          <w:sz w:val="24"/>
          <w:szCs w:val="24"/>
          <w:lang w:val="en-US" w:eastAsia="zh-CN"/>
        </w:rPr>
        <w:t>服务要求</w:t>
      </w:r>
      <w:r>
        <w:rPr>
          <w:rFonts w:hint="eastAsia" w:hAnsi="宋体"/>
          <w:sz w:val="24"/>
          <w:szCs w:val="24"/>
        </w:rPr>
        <w:t>：</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项目基本情况：鄂尔多斯市中心医院总建筑面积约26万平米，其中东胜部124000平米（包括门诊楼、医技楼、东区住院楼、西区住院楼、教学楼、职工食堂等），康巴什部142800平米（包括健检楼、医疗综合楼、动力中心、高压氧、制氧站、锅炉房、污水处理站等）。</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2.项目服务地点：市中心医院东部、康巴什部。</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3.消防设备设施维护保养及检测范围（包含但不限于以下内容）：</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3.1火灾自动报警系统设备（感烟、感温探测器、线型感温探测器、线型感温探测器主机，消火栓报警按钮、手动报警按钮、楼层显示器、消防广播、输入/输出模块、中继器、消防端子箱、火灾报警控制器主机、联动控制器、火灾报警控制器、通讯控制柜、警铃、消防广播、消防电话、备用电源等涉及消防系统的所有设施设备）。</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3.2水灭火系统设备（消防泵、喷淋泵、水炮泵、增压泵、稳压泵、喷淋头、室内外灭火栓、消防卷盘、各类阀门、水泵接合器、消防水池、浮球阀、高位水箱、水灭火系统控制柜、水流指示器、压力开关、电接点压力表、报警阀组、管网、水力警铃等设施设备）。</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3.3防火分隔设施：防排烟系统设备（正压风机、新风机、排烟风机、正压送风阀、防火阀、排风阀、排烟防火阀、电控箱等设施设备），防火卷帘门、防火门。</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3.4气体灭火系统设备（气体灭火控制器、贮气钢瓶、气体输送管网、喷头、阀门、紧急启动停止按钮、声光报警器、光电感烟探测器、感温探测器等）</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3.5消防供配电设施。</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3.6消防供配电设施检测。</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3.7消防电梯的归首检测。</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3.8与本项目相关的所有消防设备设施维护保养。</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3.9与本项目相关的所有消防设备设施，火灾模式下联动检测。</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3.10消防安全隐患排查、评估、整改方案、整改实施。</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维保检测工作等于或高于国家标准，完全满足设计要求及功能。维保检测单位负责每年对整个项目进行检测，并根据要求出具消防部门认可的消防系统检测报告。</w:t>
      </w: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对接相关安全管理部门，及时了解相关消防安全政策、法规、要求，对照落实执行，使本维保项目始终处于高效安全的运行状态。</w:t>
      </w:r>
    </w:p>
    <w:p>
      <w:pPr>
        <w:spacing w:line="360" w:lineRule="auto"/>
        <w:rPr>
          <w:rFonts w:hint="default" w:asciiTheme="minorEastAsia" w:hAnsiTheme="minorEastAsia"/>
          <w:sz w:val="24"/>
          <w:szCs w:val="24"/>
          <w:lang w:val="en-US" w:eastAsia="zh-CN"/>
        </w:rPr>
      </w:pPr>
    </w:p>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4.服务需求一览表：</w:t>
      </w:r>
    </w:p>
    <w:tbl>
      <w:tblPr>
        <w:tblStyle w:val="8"/>
        <w:tblW w:w="85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1"/>
        <w:gridCol w:w="2225"/>
        <w:gridCol w:w="2780"/>
        <w:gridCol w:w="1327"/>
        <w:gridCol w:w="1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5" w:hRule="atLeast"/>
        </w:trPr>
        <w:tc>
          <w:tcPr>
            <w:tcW w:w="1041"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编号</w:t>
            </w:r>
          </w:p>
        </w:tc>
        <w:tc>
          <w:tcPr>
            <w:tcW w:w="2225"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服务项目</w:t>
            </w:r>
          </w:p>
        </w:tc>
        <w:tc>
          <w:tcPr>
            <w:tcW w:w="2780"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服务要求及标准</w:t>
            </w:r>
          </w:p>
        </w:tc>
        <w:tc>
          <w:tcPr>
            <w:tcW w:w="1327"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数量</w:t>
            </w:r>
          </w:p>
        </w:tc>
        <w:tc>
          <w:tcPr>
            <w:tcW w:w="112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1041"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w:t>
            </w:r>
          </w:p>
        </w:tc>
        <w:tc>
          <w:tcPr>
            <w:tcW w:w="2225"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消防系统及设备设施维保、检测</w:t>
            </w:r>
          </w:p>
        </w:tc>
        <w:tc>
          <w:tcPr>
            <w:tcW w:w="2780"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详见附表1</w:t>
            </w:r>
          </w:p>
        </w:tc>
        <w:tc>
          <w:tcPr>
            <w:tcW w:w="1327"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w:t>
            </w:r>
          </w:p>
        </w:tc>
        <w:tc>
          <w:tcPr>
            <w:tcW w:w="1129" w:type="dxa"/>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项</w:t>
            </w:r>
          </w:p>
        </w:tc>
      </w:tr>
    </w:tbl>
    <w:p>
      <w:pPr>
        <w:spacing w:line="360" w:lineRule="auto"/>
        <w:rPr>
          <w:rFonts w:hint="default" w:asciiTheme="minorEastAsia" w:hAnsiTheme="minorEastAsia"/>
          <w:sz w:val="24"/>
          <w:szCs w:val="24"/>
          <w:lang w:val="en-US" w:eastAsia="zh-CN"/>
        </w:rPr>
      </w:pPr>
      <w:r>
        <w:rPr>
          <w:rFonts w:hint="default" w:asciiTheme="minorEastAsia" w:hAnsiTheme="minorEastAsia"/>
          <w:sz w:val="24"/>
          <w:szCs w:val="24"/>
          <w:lang w:val="en-US" w:eastAsia="zh-CN"/>
        </w:rPr>
        <w:t>附表1服务要求及标准。服务项目：消防系统及设备设施维保、检测。</w:t>
      </w:r>
    </w:p>
    <w:tbl>
      <w:tblPr>
        <w:tblStyle w:val="8"/>
        <w:tblW w:w="8701" w:type="dxa"/>
        <w:tblInd w:w="0" w:type="dxa"/>
        <w:tblLayout w:type="fixed"/>
        <w:tblCellMar>
          <w:top w:w="0" w:type="dxa"/>
          <w:left w:w="108" w:type="dxa"/>
          <w:bottom w:w="0" w:type="dxa"/>
          <w:right w:w="108" w:type="dxa"/>
        </w:tblCellMar>
      </w:tblPr>
      <w:tblGrid>
        <w:gridCol w:w="1088"/>
        <w:gridCol w:w="1017"/>
        <w:gridCol w:w="6596"/>
      </w:tblGrid>
      <w:tr>
        <w:tblPrEx>
          <w:tblCellMar>
            <w:top w:w="0" w:type="dxa"/>
            <w:left w:w="108" w:type="dxa"/>
            <w:bottom w:w="0" w:type="dxa"/>
            <w:right w:w="108" w:type="dxa"/>
          </w:tblCellMar>
        </w:tblPrEx>
        <w:trPr>
          <w:trHeight w:val="996"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要求</w:t>
            </w:r>
          </w:p>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性质</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编号</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具体服务要求及标准</w:t>
            </w:r>
          </w:p>
        </w:tc>
      </w:tr>
      <w:tr>
        <w:tblPrEx>
          <w:tblCellMar>
            <w:top w:w="0" w:type="dxa"/>
            <w:left w:w="108" w:type="dxa"/>
            <w:bottom w:w="0" w:type="dxa"/>
            <w:right w:w="108" w:type="dxa"/>
          </w:tblCellMar>
        </w:tblPrEx>
        <w:trPr>
          <w:trHeight w:val="39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 xml:space="preserve"> </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严格按照国家、自治区及鄂尔多斯市现行消防规范、规程做好消防系统的维保、检测工作。</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2</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安排本项目的项目负责人1人，必须具备在投标单位注册的合格有效的一级注册消防工程师执业证书。</w:t>
            </w:r>
          </w:p>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开标时查验原件，标书中需提供扫描件。</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3</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常驻4名工作人员值班（东胜部两名，康巴什部两名），必须具备在投标单位注册的合格有效的初级及以上建（构）筑物消防员证书或消防设施操作员国家职业资格证书，必须证明技术人员为中标公司正式职工（如工资表或社保证明）。</w:t>
            </w:r>
          </w:p>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开标时查验原件，标书中需提供扫描件。</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4</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编制详细的维保方案、维保计划，严格按维保方案定期维护保养、测试。</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5</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8小时工作制，上班时间：8:30-12:30,14：00-18:00，故障时随叫随到，全天候24小时服务。</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6</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故障维修完成时间：设备误报，到现场立即解决（10分钟内）；一般故障2小时内解决；较大故障12小时</w:t>
            </w:r>
          </w:p>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内解决；重大故障48小时内解决，确实无法在规定时间内完成的，维保企业需出专门报告，说明原因和方法，并妥善做足善后措施，确保医院的防火安全。</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7</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实时根据甲方审核后更换自然老化、损坏的设备、配件、材料。甲方进行购买需更换的设备配件，乙方进行更换，不得收取工时费。</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8</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消火栓系统、自动喷淋系统维护保养涉及的润滑油、生料带、螺丝、垫片等由乙方配备。</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9</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消火栓系统、自动喷淋系统管网破裂涉及的管道材料由甲方提供，乙方负责维修（例如焊接等）。</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10</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维保人员在实施维保工作中，如因乙方的原因造成医院设备损毁、或人员伤害事故，维保企业应承担全部责任。</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11</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每次保养后，维保企业向医院管理部门提供一份由一级注册消防工程师签字认可的保养记录，并由医院的监管人员签字确认，涉及病区需有护士长或科主任签字认可。各项资料清晰规范，分类成册。</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12</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维保工作人员遵守医院的管理制度，听从甲方有关人员的正确指挥，严格按照操作规程作业，确保施工安全，维保工作人员人身安全保险由维保企业负责。</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13</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检测、调试或维修保养消防系统将可能影响到医院人员的日常生产办公时，提前报请医院管理部门批准后方可进行。</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14</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维保企业要保证消防系统原设计所有功能正常，若因维保不到位或维保过失，造成事故的，由维保企业负责，其他原因造成事故的，由公安消防管理部门进行裁定，由责任方负责。</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15</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维保企业要每年出具消防部门认可的消防系统检测报告，并协助医院做好公安消防的检查工作（重点消防单位消防年度检查）。</w:t>
            </w:r>
          </w:p>
        </w:tc>
      </w:tr>
      <w:tr>
        <w:tblPrEx>
          <w:tblCellMar>
            <w:top w:w="0" w:type="dxa"/>
            <w:left w:w="108" w:type="dxa"/>
            <w:bottom w:w="0" w:type="dxa"/>
            <w:right w:w="108" w:type="dxa"/>
          </w:tblCellMar>
        </w:tblPrEx>
        <w:trPr>
          <w:trHeight w:val="565"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16</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协助医院组织和完成医院定期消防演习。</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17</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维保企业无条件向医院提供力所能及的消防技术支持服务，例如消防培训等。</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18</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如因乙方原因造成医院在各项检查中发生的行政处罚，维保企业承担全部责任并上缴相关费用。</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 xml:space="preserve"> </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19</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每月按计划测试设备，保证一年内所有设备全部测试一遍。确保设备的正常运行。</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 xml:space="preserve"> </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20</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维护、保养过程中必须清洗探测器，保证一年内对所有光电感烟探测器、感温探测器等探测器清洗一遍。</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21</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在保养维护期间所涉及的专用仪器工具、辅助材料易损耗材料（润滑油、生料带、螺丝、垫片、电工胶带等）乙方承担。</w:t>
            </w:r>
          </w:p>
        </w:tc>
      </w:tr>
      <w:tr>
        <w:tblPrEx>
          <w:tblCellMar>
            <w:top w:w="0" w:type="dxa"/>
            <w:left w:w="108" w:type="dxa"/>
            <w:bottom w:w="0" w:type="dxa"/>
            <w:right w:w="108" w:type="dxa"/>
          </w:tblCellMar>
        </w:tblPrEx>
        <w:trPr>
          <w:trHeight w:val="349" w:hRule="atLeast"/>
        </w:trPr>
        <w:tc>
          <w:tcPr>
            <w:tcW w:w="108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 xml:space="preserve"> </w:t>
            </w:r>
          </w:p>
        </w:tc>
        <w:tc>
          <w:tcPr>
            <w:tcW w:w="101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22</w:t>
            </w:r>
          </w:p>
        </w:tc>
        <w:tc>
          <w:tcPr>
            <w:tcW w:w="6596"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服从院方的考核细则（考核细则附后）。</w:t>
            </w:r>
          </w:p>
        </w:tc>
      </w:tr>
      <w:tr>
        <w:tblPrEx>
          <w:tblCellMar>
            <w:top w:w="0" w:type="dxa"/>
            <w:left w:w="108" w:type="dxa"/>
            <w:bottom w:w="0" w:type="dxa"/>
            <w:right w:w="108" w:type="dxa"/>
          </w:tblCellMar>
        </w:tblPrEx>
        <w:trPr>
          <w:trHeight w:val="349" w:hRule="atLeast"/>
        </w:trPr>
        <w:tc>
          <w:tcPr>
            <w:tcW w:w="870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Theme="minorEastAsia" w:hAnsiTheme="minorEastAsia"/>
                <w:sz w:val="24"/>
                <w:szCs w:val="24"/>
                <w:lang w:val="en-US" w:eastAsia="zh-CN"/>
              </w:rPr>
            </w:pPr>
            <w:r>
              <w:rPr>
                <w:rFonts w:hint="default" w:asciiTheme="minorEastAsia" w:hAnsiTheme="minorEastAsia"/>
                <w:sz w:val="24"/>
                <w:szCs w:val="24"/>
                <w:lang w:val="en-US" w:eastAsia="zh-CN"/>
              </w:rPr>
              <w:t>注：“参数性质”标“*”表示此要求为主要服务指标。</w:t>
            </w:r>
          </w:p>
        </w:tc>
      </w:tr>
    </w:tbl>
    <w:p>
      <w:pPr>
        <w:spacing w:line="360" w:lineRule="auto"/>
        <w:rPr>
          <w:rFonts w:hint="eastAsia" w:asciiTheme="minorEastAsia" w:hAnsiTheme="minorEastAsia" w:eastAsiaTheme="minorEastAsia" w:cstheme="minorEastAsia"/>
          <w:b w:val="0"/>
          <w:sz w:val="30"/>
          <w:szCs w:val="30"/>
          <w:lang w:val="en-US" w:eastAsia="zh-CN"/>
        </w:rPr>
      </w:pPr>
    </w:p>
    <w:p>
      <w:pPr>
        <w:spacing w:line="360" w:lineRule="auto"/>
        <w:rPr>
          <w:rFonts w:hint="eastAsia" w:asciiTheme="minorEastAsia" w:hAnsiTheme="minorEastAsia" w:eastAsiaTheme="minorEastAsia" w:cstheme="minorEastAsia"/>
          <w:b w:val="0"/>
          <w:sz w:val="30"/>
          <w:szCs w:val="30"/>
          <w:lang w:val="en-US" w:eastAsia="zh-CN"/>
        </w:rPr>
      </w:pPr>
    </w:p>
    <w:p>
      <w:pPr>
        <w:spacing w:line="360" w:lineRule="auto"/>
        <w:rPr>
          <w:rFonts w:hint="eastAsia" w:asciiTheme="minorEastAsia" w:hAnsiTheme="minorEastAsia" w:eastAsiaTheme="minorEastAsia" w:cstheme="minorEastAsia"/>
          <w:b w:val="0"/>
          <w:sz w:val="30"/>
          <w:szCs w:val="30"/>
          <w:lang w:val="en-US" w:eastAsia="zh-CN"/>
        </w:rPr>
      </w:pPr>
    </w:p>
    <w:p>
      <w:pPr>
        <w:spacing w:line="360" w:lineRule="auto"/>
        <w:rPr>
          <w:rFonts w:hint="eastAsia" w:asciiTheme="minorEastAsia" w:hAnsiTheme="minorEastAsia" w:eastAsiaTheme="minorEastAsia" w:cstheme="minorEastAsia"/>
          <w:b w:val="0"/>
          <w:sz w:val="30"/>
          <w:szCs w:val="30"/>
          <w:lang w:val="en-US" w:eastAsia="zh-CN"/>
        </w:rPr>
      </w:pPr>
    </w:p>
    <w:p>
      <w:pPr>
        <w:spacing w:line="360" w:lineRule="auto"/>
        <w:rPr>
          <w:rFonts w:hint="eastAsia" w:asciiTheme="minorEastAsia" w:hAnsiTheme="minorEastAsia" w:eastAsiaTheme="minorEastAsia" w:cstheme="minorEastAsia"/>
          <w:b w:val="0"/>
          <w:sz w:val="30"/>
          <w:szCs w:val="30"/>
          <w:lang w:val="en-US" w:eastAsia="zh-CN"/>
        </w:rPr>
        <w:sectPr>
          <w:pgSz w:w="11906" w:h="16838"/>
          <w:pgMar w:top="1440" w:right="1800" w:bottom="1440" w:left="1800" w:header="851" w:footer="992" w:gutter="0"/>
          <w:cols w:space="425" w:num="1"/>
          <w:docGrid w:type="lines" w:linePitch="312" w:charSpace="0"/>
        </w:sectPr>
      </w:pPr>
    </w:p>
    <w:p>
      <w:pPr>
        <w:spacing w:line="360" w:lineRule="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三、</w:t>
      </w:r>
      <w:r>
        <w:rPr>
          <w:rFonts w:hint="eastAsia" w:asciiTheme="minorEastAsia" w:hAnsiTheme="minorEastAsia" w:eastAsiaTheme="minorEastAsia" w:cstheme="minorEastAsia"/>
          <w:b/>
          <w:bCs/>
          <w:sz w:val="30"/>
          <w:szCs w:val="30"/>
        </w:rPr>
        <w:t>消防设施维护、保养内容计划表</w:t>
      </w:r>
    </w:p>
    <w:p>
      <w:pPr>
        <w:jc w:val="center"/>
        <w:rPr>
          <w:rFonts w:ascii="宋体" w:hAnsi="宋体"/>
          <w:b/>
          <w:sz w:val="30"/>
          <w:szCs w:val="30"/>
        </w:rPr>
      </w:pPr>
      <w:r>
        <w:rPr>
          <w:rFonts w:hint="eastAsia" w:ascii="宋体" w:hAnsi="宋体"/>
          <w:b/>
          <w:sz w:val="30"/>
          <w:szCs w:val="30"/>
        </w:rPr>
        <w:t>鄂尔多斯</w:t>
      </w:r>
      <w:r>
        <w:rPr>
          <w:rFonts w:hint="eastAsia" w:ascii="宋体" w:hAnsi="宋体"/>
          <w:b/>
          <w:sz w:val="30"/>
          <w:szCs w:val="30"/>
          <w:lang w:val="en-US" w:eastAsia="zh-CN"/>
        </w:rPr>
        <w:t>中心医院</w:t>
      </w:r>
      <w:r>
        <w:rPr>
          <w:rFonts w:hint="eastAsia" w:ascii="宋体" w:hAnsi="宋体"/>
          <w:b/>
          <w:sz w:val="30"/>
          <w:szCs w:val="30"/>
        </w:rPr>
        <w:t>消防设施设备年度检修计划表</w:t>
      </w:r>
    </w:p>
    <w:tbl>
      <w:tblPr>
        <w:tblStyle w:val="8"/>
        <w:tblW w:w="15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782"/>
        <w:gridCol w:w="782"/>
        <w:gridCol w:w="783"/>
        <w:gridCol w:w="782"/>
        <w:gridCol w:w="782"/>
        <w:gridCol w:w="782"/>
        <w:gridCol w:w="783"/>
        <w:gridCol w:w="782"/>
        <w:gridCol w:w="782"/>
        <w:gridCol w:w="782"/>
        <w:gridCol w:w="783"/>
        <w:gridCol w:w="782"/>
        <w:gridCol w:w="782"/>
        <w:gridCol w:w="782"/>
        <w:gridCol w:w="783"/>
        <w:gridCol w:w="782"/>
        <w:gridCol w:w="782"/>
        <w:gridCol w:w="782"/>
        <w:gridCol w:w="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灭火器检测</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烟感检测</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疏散指示灯、应急照</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明放点</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检修、</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更换保</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养</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室内消火栓检测及保</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养</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室外消火栓检测及保</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养</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消防电梯迫降</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消防泵维护保养</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消防广播强切</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消防电源强切</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湿式报警阀末端测试</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及器件</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保养</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排烟执行机构现场启</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动与内</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部器件</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保养</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排烟风机远、进程启</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动及检</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测</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排烟风机设备外观检</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查及防</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锈处理</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楼顶水箱清洗与浮球</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阀测试</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保养</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室内消火栓最不利端</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放水试</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压与胶</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片检查</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消防水池清洗与进水</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阀、泄</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水阀等</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期间检</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查维护</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消防卷帘门回路板测</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试、手</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动拉练</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检测</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消控主机、主备电切</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换、联</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动测试</w:t>
            </w:r>
          </w:p>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与器件</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维护</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rPr>
            </w:pPr>
            <w:r>
              <w:rPr>
                <w:rFonts w:hint="eastAsia" w:ascii="宋体" w:hAnsi="宋体"/>
                <w:sz w:val="20"/>
                <w:szCs w:val="20"/>
              </w:rPr>
              <w:t>气体灭火的模拟测试</w:t>
            </w:r>
          </w:p>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与保养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一月份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二月份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三月份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四月份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半年一次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半年一次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 w:hRule="atLeast"/>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五月份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六月份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七月份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18"/>
                <w:szCs w:val="18"/>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18"/>
                <w:szCs w:val="18"/>
              </w:rPr>
            </w:pPr>
            <w:r>
              <w:rPr>
                <w:rFonts w:hint="eastAsia" w:ascii="宋体" w:hAnsi="宋体"/>
                <w:sz w:val="18"/>
                <w:szCs w:val="18"/>
              </w:rPr>
              <w:t>每年一次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八月份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九月份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十月份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十一月份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十二月份</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每月二次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半年一次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每季度一次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r>
              <w:rPr>
                <w:rFonts w:hint="eastAsia" w:ascii="宋体" w:hAnsi="宋体"/>
                <w:sz w:val="20"/>
                <w:szCs w:val="20"/>
              </w:rPr>
              <w:t>每月一次</w:t>
            </w: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2"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c>
          <w:tcPr>
            <w:tcW w:w="783" w:type="dxa"/>
            <w:vAlign w:val="center"/>
          </w:tcPr>
          <w:p>
            <w:pPr>
              <w:keepNext w:val="0"/>
              <w:keepLines w:val="0"/>
              <w:suppressLineNumbers w:val="0"/>
              <w:spacing w:before="0" w:beforeAutospacing="0" w:after="0" w:afterAutospacing="0"/>
              <w:ind w:left="-220" w:leftChars="-105" w:right="-105" w:firstLine="0"/>
              <w:jc w:val="center"/>
              <w:rPr>
                <w:rFonts w:hint="default" w:ascii="宋体" w:hAnsi="宋体"/>
                <w:sz w:val="20"/>
                <w:szCs w:val="20"/>
              </w:rPr>
            </w:pPr>
          </w:p>
        </w:tc>
      </w:tr>
    </w:tbl>
    <w:p>
      <w:pPr>
        <w:spacing w:line="360" w:lineRule="auto"/>
        <w:rPr>
          <w:rFonts w:hint="default" w:asciiTheme="minorEastAsia" w:hAnsiTheme="minorEastAsia"/>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tabs>
          <w:tab w:val="left" w:pos="463"/>
        </w:tabs>
        <w:spacing w:line="360" w:lineRule="auto"/>
        <w:ind w:firstLine="241" w:firstLineChars="100"/>
        <w:rPr>
          <w:rFonts w:hint="eastAsia" w:asciiTheme="minorEastAsia" w:hAnsiTheme="minorEastAsia"/>
          <w:b/>
          <w:bCs/>
          <w:sz w:val="24"/>
          <w:szCs w:val="24"/>
          <w:lang w:val="en-US" w:eastAsia="zh-CN"/>
        </w:rPr>
      </w:pPr>
    </w:p>
    <w:p>
      <w:pPr>
        <w:spacing w:line="360" w:lineRule="auto"/>
        <w:rPr>
          <w:rFonts w:hint="eastAsia" w:asciiTheme="minorEastAsia" w:hAnsiTheme="minorEastAsia"/>
          <w:sz w:val="28"/>
          <w:szCs w:val="28"/>
          <w:lang w:val="en-US" w:eastAsia="zh-CN"/>
        </w:rPr>
      </w:pPr>
    </w:p>
    <w:p>
      <w:pPr>
        <w:spacing w:line="360" w:lineRule="auto"/>
        <w:rPr>
          <w:rFonts w:hint="eastAsia" w:asciiTheme="minorEastAsia" w:hAnsiTheme="minorEastAsia"/>
          <w:sz w:val="28"/>
          <w:szCs w:val="28"/>
          <w:lang w:val="en-US" w:eastAsia="zh-CN"/>
        </w:rPr>
      </w:pPr>
    </w:p>
    <w:p>
      <w:pPr>
        <w:spacing w:line="360" w:lineRule="auto"/>
        <w:rPr>
          <w:rFonts w:hint="eastAsia" w:asciiTheme="minorEastAsia" w:hAnsiTheme="minorEastAsia"/>
          <w:sz w:val="28"/>
          <w:szCs w:val="28"/>
          <w:lang w:val="en-US" w:eastAsia="zh-CN"/>
        </w:rPr>
      </w:pPr>
    </w:p>
    <w:p>
      <w:pPr>
        <w:spacing w:line="360" w:lineRule="auto"/>
        <w:rPr>
          <w:rFonts w:hint="eastAsia" w:asciiTheme="minorEastAsia" w:hAnsiTheme="minorEastAsia"/>
          <w:b/>
          <w:bCs/>
          <w:sz w:val="28"/>
          <w:szCs w:val="28"/>
          <w:lang w:val="en-US" w:eastAsia="zh-CN"/>
        </w:rPr>
        <w:sectPr>
          <w:pgSz w:w="16838" w:h="11906" w:orient="landscape"/>
          <w:pgMar w:top="1803" w:right="1440" w:bottom="1803" w:left="1440" w:header="851" w:footer="992" w:gutter="0"/>
          <w:pgNumType w:fmt="decimal"/>
          <w:cols w:equalWidth="0" w:num="1">
            <w:col w:w="8306"/>
          </w:cols>
          <w:rtlGutter w:val="0"/>
          <w:docGrid w:type="lines" w:linePitch="319" w:charSpace="0"/>
        </w:sectPr>
      </w:pPr>
    </w:p>
    <w:p>
      <w:pPr>
        <w:spacing w:line="360" w:lineRule="auto"/>
        <w:rPr>
          <w:rFonts w:hint="eastAsia" w:asciiTheme="minorEastAsia" w:hAnsiTheme="minorEastAsia"/>
          <w:b/>
          <w:bCs/>
          <w:sz w:val="28"/>
          <w:szCs w:val="28"/>
          <w:lang w:val="en-US" w:eastAsia="zh-CN"/>
        </w:rPr>
      </w:pPr>
      <w:r>
        <w:rPr>
          <w:rFonts w:hint="eastAsia" w:asciiTheme="minorEastAsia" w:hAnsiTheme="minorEastAsia"/>
          <w:b/>
          <w:bCs/>
          <w:sz w:val="28"/>
          <w:szCs w:val="28"/>
          <w:lang w:val="en-US" w:eastAsia="zh-CN"/>
        </w:rPr>
        <w:t>四、消防维保考核细则</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1.消防维保考核标准</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为了规范消防维修保养工作,提高消防维保的工作质量,防止消防安全事故的发生,根据《消防维保合同》及其它相关规定,制定本方法。</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考核对象和考核时间：中标维保公司进场工作开始</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考核时间:每季度考核一次</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消防维保考核由甲方执行。消防维保考核完成情况:维保质量(20分)、消防设施设备维保(80分)两部分组成,总分100分。 </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 xml:space="preserve">（1）出勤考核：维保人员必须按时上岗，签到。                                                                                                                                                                                                                                                                                                                                                                                                                                                                                                                                                                                                                                                                                                                                                                                                                                                                                                                                                                                                                                                                                                                                                                                                                                                                                                                                                                                                                                                                                                                                                                                                                                                                                                                                                                                                                                                                                                                                                                                                                                                                                                                                                                                                                                                                                                                                                                                                                                                                                                                                                                                                                                                                                                                                                                                                                                                                                                                                                                                                                                                                                                                                                                                                                                                                                                                                                                                                                                                                                                                                                                                                                                                                                                                                                                                                                                                                                                                                                                                                                                                                                                                                                                                          </w:t>
      </w:r>
      <w:r>
        <w:rPr>
          <w:rFonts w:hint="eastAsia" w:asciiTheme="minorEastAsia" w:hAnsi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2）人员配备考核：本项目的项目负责人1人，必须具备在投标单位注册的合格有效的一级注册消防工程师执业证书；拟派本项目的技术人员4名，必须具备在投标单位注册的合格有效的初级及以上建（构）筑物消防员证书或消防设施操作员国家职业资格证书，必须证明技术人员为中标公司正式职工（如工资表或社保证明）；</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（3）维修响应：设备</w:t>
      </w:r>
      <w:r>
        <w:rPr>
          <w:rFonts w:hint="eastAsia" w:asciiTheme="minorEastAsia" w:hAnsiTheme="minorEastAsia"/>
          <w:sz w:val="28"/>
          <w:szCs w:val="28"/>
        </w:rPr>
        <w:t>误报</w:t>
      </w:r>
      <w:r>
        <w:rPr>
          <w:rFonts w:hint="eastAsia" w:asciiTheme="minorEastAsia" w:hAnsiTheme="minorEastAsia"/>
          <w:sz w:val="28"/>
          <w:szCs w:val="28"/>
          <w:lang w:eastAsia="zh-CN"/>
        </w:rPr>
        <w:t>，</w:t>
      </w:r>
      <w:r>
        <w:rPr>
          <w:rFonts w:hint="eastAsia" w:asciiTheme="minorEastAsia" w:hAnsiTheme="minorEastAsia"/>
          <w:sz w:val="28"/>
          <w:szCs w:val="28"/>
        </w:rPr>
        <w:t>到现场立即解决（10分钟内）；一般故障2小时内解决；较大故障12小时内解决；重大故障48小时内解决，</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rPr>
      </w:pPr>
      <w:r>
        <w:rPr>
          <w:rFonts w:hint="eastAsia" w:asciiTheme="minorEastAsia" w:hAnsiTheme="minorEastAsia"/>
          <w:sz w:val="28"/>
          <w:szCs w:val="28"/>
          <w:lang w:val="en-US" w:eastAsia="zh-CN"/>
        </w:rPr>
        <w:t>（4）维保效果：</w:t>
      </w:r>
      <w:r>
        <w:rPr>
          <w:rFonts w:hint="eastAsia" w:asciiTheme="minorEastAsia" w:hAnsiTheme="minorEastAsia"/>
          <w:sz w:val="28"/>
          <w:szCs w:val="28"/>
        </w:rPr>
        <w:t>发现问题及时处理</w:t>
      </w:r>
      <w:r>
        <w:rPr>
          <w:rFonts w:hint="eastAsia" w:asciiTheme="minorEastAsia" w:hAnsiTheme="minorEastAsia"/>
          <w:sz w:val="28"/>
          <w:szCs w:val="28"/>
          <w:lang w:eastAsia="zh-CN"/>
        </w:rPr>
        <w:t>，</w:t>
      </w:r>
      <w:r>
        <w:rPr>
          <w:rFonts w:hint="eastAsia" w:asciiTheme="minorEastAsia" w:hAnsiTheme="minorEastAsia"/>
          <w:sz w:val="28"/>
          <w:szCs w:val="28"/>
        </w:rPr>
        <w:t>确保设备的正常运行。</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（5）年度检修考核：</w:t>
      </w:r>
      <w:r>
        <w:rPr>
          <w:rFonts w:hint="eastAsia" w:ascii="宋体" w:hAnsi="宋体"/>
          <w:sz w:val="28"/>
          <w:szCs w:val="28"/>
        </w:rPr>
        <w:t>严格按维保方案</w:t>
      </w:r>
      <w:r>
        <w:rPr>
          <w:rFonts w:hint="eastAsia" w:ascii="宋体" w:hAnsi="宋体"/>
          <w:sz w:val="28"/>
          <w:szCs w:val="28"/>
          <w:lang w:val="en-US" w:eastAsia="zh-CN"/>
        </w:rPr>
        <w:t>进行全院消防设施设备</w:t>
      </w:r>
      <w:r>
        <w:rPr>
          <w:rFonts w:hint="eastAsia" w:ascii="宋体" w:hAnsi="宋体"/>
          <w:sz w:val="28"/>
          <w:szCs w:val="28"/>
        </w:rPr>
        <w:t>维护保养、测试</w:t>
      </w:r>
      <w:r>
        <w:rPr>
          <w:rFonts w:hint="eastAsia" w:asciiTheme="minorEastAsia" w:hAnsi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根据考核细则进行分值评定，纳入医院绩效考核。</w:t>
      </w:r>
    </w:p>
    <w:p>
      <w:pPr>
        <w:keepNext w:val="0"/>
        <w:keepLines w:val="0"/>
        <w:pageBreakBefore w:val="0"/>
        <w:widowControl w:val="0"/>
        <w:kinsoku/>
        <w:wordWrap/>
        <w:overflowPunct/>
        <w:topLinePunct w:val="0"/>
        <w:autoSpaceDE/>
        <w:autoSpaceDN/>
        <w:bidi w:val="0"/>
        <w:adjustRightInd/>
        <w:snapToGrid/>
        <w:spacing w:line="500" w:lineRule="exact"/>
        <w:ind w:left="290" w:leftChars="133" w:hanging="11" w:hangingChars="4"/>
        <w:textAlignment w:val="auto"/>
        <w:rPr>
          <w:rFonts w:hint="eastAsia" w:asciiTheme="minorEastAsia" w:hAnsiTheme="minorEastAsia"/>
          <w:sz w:val="28"/>
          <w:szCs w:val="28"/>
          <w:lang w:val="en-US" w:eastAsia="zh-CN"/>
        </w:rPr>
        <w:sectPr>
          <w:pgSz w:w="11906" w:h="16838"/>
          <w:pgMar w:top="1440" w:right="1803" w:bottom="1440" w:left="1803" w:header="851" w:footer="992" w:gutter="0"/>
          <w:pgNumType w:fmt="decimal"/>
          <w:cols w:space="425" w:num="1"/>
          <w:rtlGutter w:val="0"/>
          <w:docGrid w:type="lines" w:linePitch="319" w:charSpace="0"/>
        </w:sectPr>
      </w:pPr>
      <w:r>
        <w:rPr>
          <w:rFonts w:hint="eastAsia" w:asciiTheme="minorEastAsia" w:hAnsiTheme="minorEastAsia"/>
          <w:sz w:val="28"/>
          <w:szCs w:val="28"/>
          <w:lang w:val="en-US" w:eastAsia="zh-CN"/>
        </w:rPr>
        <w:t>80分-90分为良，90分以上为优，季度考核分值低于70分时甲方有权解除维保合同，全年考核为优可续签第2、3年维保服务合同。</w:t>
      </w:r>
    </w:p>
    <w:p>
      <w:pPr>
        <w:numPr>
          <w:ilvl w:val="0"/>
          <w:numId w:val="0"/>
        </w:numPr>
        <w:tabs>
          <w:tab w:val="left" w:pos="672"/>
        </w:tabs>
        <w:spacing w:line="360" w:lineRule="auto"/>
        <w:ind w:left="0" w:right="0" w:firstLine="200"/>
        <w:jc w:val="left"/>
        <w:rPr>
          <w:rFonts w:hint="eastAsia" w:ascii="宋体" w:hAnsi="宋体"/>
          <w:sz w:val="24"/>
          <w:szCs w:val="24"/>
          <w:lang w:val="en-US" w:eastAsia="zh-CN"/>
        </w:rPr>
        <w:sectPr>
          <w:footerReference r:id="rId3" w:type="default"/>
          <w:pgSz w:w="11906" w:h="16838"/>
          <w:pgMar w:top="1440" w:right="1800" w:bottom="1440" w:left="1800" w:header="851" w:footer="992" w:gutter="0"/>
          <w:cols w:space="425" w:num="1"/>
          <w:docGrid w:type="lines" w:linePitch="312" w:charSpace="0"/>
        </w:sectPr>
      </w:pPr>
    </w:p>
    <w:p>
      <w:pPr>
        <w:numPr>
          <w:ilvl w:val="0"/>
          <w:numId w:val="0"/>
        </w:numPr>
        <w:tabs>
          <w:tab w:val="left" w:pos="672"/>
        </w:tabs>
        <w:spacing w:line="360" w:lineRule="auto"/>
        <w:ind w:left="0" w:right="0" w:firstLine="200"/>
        <w:jc w:val="left"/>
        <w:rPr>
          <w:rFonts w:hint="default" w:ascii="宋体" w:hAnsi="宋体"/>
          <w:sz w:val="24"/>
          <w:szCs w:val="24"/>
          <w:lang w:val="en-US" w:eastAsia="zh-CN"/>
        </w:rPr>
      </w:pPr>
      <w:r>
        <w:rPr>
          <w:rFonts w:hint="eastAsia" w:ascii="宋体" w:hAnsi="宋体"/>
          <w:sz w:val="24"/>
          <w:szCs w:val="24"/>
          <w:lang w:val="en-US" w:eastAsia="zh-CN"/>
        </w:rPr>
        <w:t>2.考核细则</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0"/>
        <w:gridCol w:w="1912"/>
        <w:gridCol w:w="4434"/>
        <w:gridCol w:w="5154"/>
        <w:gridCol w:w="675"/>
        <w:gridCol w:w="468"/>
        <w:gridCol w:w="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eastAsia" w:ascii="宋体" w:hAnsi="宋体"/>
                <w:sz w:val="18"/>
                <w:szCs w:val="18"/>
              </w:rPr>
              <w:t>检查项目</w:t>
            </w:r>
          </w:p>
        </w:tc>
        <w:tc>
          <w:tcPr>
            <w:tcW w:w="2237" w:type="pct"/>
            <w:gridSpan w:val="2"/>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eastAsia" w:ascii="宋体" w:hAnsi="宋体"/>
                <w:sz w:val="18"/>
                <w:szCs w:val="18"/>
              </w:rPr>
              <w:t>检查内容</w:t>
            </w:r>
          </w:p>
        </w:tc>
        <w:tc>
          <w:tcPr>
            <w:tcW w:w="1817" w:type="pct"/>
            <w:vAlign w:val="center"/>
          </w:tcPr>
          <w:p>
            <w:pPr>
              <w:keepNext w:val="0"/>
              <w:keepLines w:val="0"/>
              <w:suppressLineNumbers w:val="0"/>
              <w:spacing w:before="0" w:beforeAutospacing="0" w:after="0" w:afterAutospacing="0" w:line="360" w:lineRule="auto"/>
              <w:ind w:left="0" w:right="0"/>
              <w:jc w:val="both"/>
              <w:rPr>
                <w:rFonts w:hint="eastAsia" w:ascii="宋体" w:hAnsi="宋体"/>
                <w:sz w:val="18"/>
                <w:szCs w:val="18"/>
              </w:rPr>
            </w:pPr>
            <w:r>
              <w:rPr>
                <w:rFonts w:hint="eastAsia" w:ascii="宋体" w:hAnsi="宋体"/>
                <w:sz w:val="18"/>
                <w:szCs w:val="18"/>
              </w:rPr>
              <w:t>评分标准</w:t>
            </w:r>
          </w:p>
        </w:tc>
        <w:tc>
          <w:tcPr>
            <w:tcW w:w="238" w:type="pc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eastAsia" w:ascii="宋体" w:hAnsi="宋体"/>
                <w:sz w:val="18"/>
                <w:szCs w:val="18"/>
              </w:rPr>
              <w:t>扣分原因</w:t>
            </w:r>
          </w:p>
        </w:tc>
        <w:tc>
          <w:tcPr>
            <w:tcW w:w="165" w:type="pc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sz w:val="18"/>
                <w:szCs w:val="18"/>
                <w:lang w:val="en-US" w:eastAsia="zh-CN"/>
              </w:rPr>
            </w:pPr>
            <w:r>
              <w:rPr>
                <w:rFonts w:hint="eastAsia" w:ascii="宋体" w:hAnsi="宋体"/>
                <w:sz w:val="18"/>
                <w:szCs w:val="18"/>
                <w:lang w:val="en-US" w:eastAsia="zh-CN"/>
              </w:rPr>
              <w:t>扣分</w:t>
            </w:r>
          </w:p>
        </w:tc>
        <w:tc>
          <w:tcPr>
            <w:tcW w:w="180" w:type="pc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sz w:val="21"/>
                <w:szCs w:val="21"/>
                <w:lang w:val="en-US" w:eastAsia="zh-CN"/>
              </w:rPr>
            </w:pPr>
            <w:r>
              <w:rPr>
                <w:rFonts w:hint="eastAsia" w:ascii="宋体" w:hAnsi="宋体"/>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lang w:val="en-US" w:eastAsia="zh-CN"/>
              </w:rPr>
            </w:pPr>
            <w:r>
              <w:rPr>
                <w:rFonts w:hint="eastAsia" w:ascii="宋体" w:hAnsi="宋体"/>
                <w:sz w:val="18"/>
                <w:szCs w:val="18"/>
                <w:lang w:val="en-US" w:eastAsia="zh-CN"/>
              </w:rPr>
              <w:t>维保质量</w:t>
            </w:r>
          </w:p>
          <w:p>
            <w:pPr>
              <w:keepNext w:val="0"/>
              <w:keepLines w:val="0"/>
              <w:suppressLineNumbers w:val="0"/>
              <w:spacing w:before="0" w:beforeAutospacing="0" w:after="0" w:afterAutospacing="0" w:line="360" w:lineRule="auto"/>
              <w:ind w:left="0" w:right="0"/>
              <w:jc w:val="center"/>
              <w:rPr>
                <w:rFonts w:hint="default" w:ascii="宋体" w:hAnsi="宋体"/>
                <w:sz w:val="18"/>
                <w:szCs w:val="18"/>
                <w:lang w:val="en-US" w:eastAsia="zh-CN"/>
              </w:rPr>
            </w:pPr>
            <w:r>
              <w:rPr>
                <w:rFonts w:hint="eastAsia" w:ascii="宋体" w:hAnsi="宋体"/>
                <w:sz w:val="18"/>
                <w:szCs w:val="18"/>
                <w:lang w:val="en-US" w:eastAsia="zh-CN"/>
              </w:rPr>
              <w:t>（20分）</w:t>
            </w:r>
          </w:p>
        </w:tc>
        <w:tc>
          <w:tcPr>
            <w:tcW w:w="2237" w:type="pct"/>
            <w:gridSpan w:val="2"/>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rPr>
              <w:t>维保工作人员</w:t>
            </w:r>
            <w:r>
              <w:rPr>
                <w:rFonts w:hint="eastAsia" w:ascii="宋体" w:hAnsi="宋体"/>
                <w:sz w:val="18"/>
                <w:szCs w:val="18"/>
                <w:lang w:val="en-US" w:eastAsia="zh-CN"/>
              </w:rPr>
              <w:t>在岗情况</w:t>
            </w:r>
          </w:p>
        </w:tc>
        <w:tc>
          <w:tcPr>
            <w:tcW w:w="1817"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每发现少一名工作人员扣1分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2237" w:type="pct"/>
            <w:gridSpan w:val="2"/>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医院审核</w:t>
            </w:r>
          </w:p>
        </w:tc>
        <w:tc>
          <w:tcPr>
            <w:tcW w:w="1817" w:type="pct"/>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sz w:val="18"/>
                <w:szCs w:val="18"/>
                <w:lang w:val="en-US" w:eastAsia="zh-CN"/>
              </w:rPr>
            </w:pPr>
            <w:r>
              <w:rPr>
                <w:rFonts w:hint="eastAsia" w:ascii="宋体" w:hAnsi="宋体"/>
                <w:sz w:val="18"/>
                <w:szCs w:val="18"/>
                <w:lang w:val="en-US" w:eastAsia="zh-CN"/>
              </w:rPr>
              <w:t>每发</w:t>
            </w:r>
            <w:r>
              <w:rPr>
                <w:rFonts w:hint="eastAsia" w:ascii="宋体" w:hAnsi="宋体"/>
                <w:sz w:val="18"/>
                <w:szCs w:val="18"/>
              </w:rPr>
              <w:t>现一处消防系统不符合项</w:t>
            </w:r>
            <w:r>
              <w:rPr>
                <w:rFonts w:hint="eastAsia" w:ascii="宋体" w:hAnsi="宋体"/>
                <w:sz w:val="18"/>
                <w:szCs w:val="18"/>
                <w:lang w:val="en-US" w:eastAsia="zh-CN"/>
              </w:rPr>
              <w:t>扣</w:t>
            </w:r>
            <w:r>
              <w:rPr>
                <w:rFonts w:hint="eastAsia" w:ascii="宋体" w:hAnsi="宋体"/>
                <w:sz w:val="18"/>
                <w:szCs w:val="18"/>
              </w:rPr>
              <w:t>1</w:t>
            </w:r>
            <w:r>
              <w:rPr>
                <w:rFonts w:hint="eastAsia" w:ascii="宋体" w:hAnsi="宋体"/>
                <w:sz w:val="18"/>
                <w:szCs w:val="18"/>
                <w:lang w:val="en-US" w:eastAsia="zh-CN"/>
              </w:rPr>
              <w:t>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2237" w:type="pct"/>
            <w:gridSpan w:val="2"/>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安全检查</w:t>
            </w:r>
          </w:p>
        </w:tc>
        <w:tc>
          <w:tcPr>
            <w:tcW w:w="1817" w:type="pct"/>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sz w:val="18"/>
                <w:szCs w:val="18"/>
                <w:lang w:val="en-US" w:eastAsia="zh-CN"/>
              </w:rPr>
            </w:pPr>
            <w:r>
              <w:rPr>
                <w:rFonts w:hint="eastAsia" w:ascii="宋体" w:hAnsi="宋体"/>
                <w:sz w:val="18"/>
                <w:szCs w:val="18"/>
                <w:lang w:val="en-US" w:eastAsia="zh-CN"/>
              </w:rPr>
              <w:t>每发</w:t>
            </w:r>
            <w:r>
              <w:rPr>
                <w:rFonts w:hint="eastAsia" w:ascii="宋体" w:hAnsi="宋体"/>
                <w:sz w:val="18"/>
                <w:szCs w:val="18"/>
              </w:rPr>
              <w:t>现一处消防系统不符合项</w:t>
            </w:r>
            <w:r>
              <w:rPr>
                <w:rFonts w:hint="eastAsia" w:ascii="宋体" w:hAnsi="宋体"/>
                <w:sz w:val="18"/>
                <w:szCs w:val="18"/>
                <w:lang w:val="en-US" w:eastAsia="zh-CN"/>
              </w:rPr>
              <w:t>扣</w:t>
            </w:r>
            <w:r>
              <w:rPr>
                <w:rFonts w:hint="eastAsia" w:ascii="宋体" w:hAnsi="宋体"/>
                <w:sz w:val="18"/>
                <w:szCs w:val="18"/>
              </w:rPr>
              <w:t>1</w:t>
            </w:r>
            <w:r>
              <w:rPr>
                <w:rFonts w:hint="eastAsia" w:ascii="宋体" w:hAnsi="宋体"/>
                <w:sz w:val="18"/>
                <w:szCs w:val="18"/>
                <w:lang w:val="en-US" w:eastAsia="zh-CN"/>
              </w:rPr>
              <w:t>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lang w:val="en-US" w:eastAsia="zh-CN"/>
              </w:rPr>
            </w:pPr>
            <w:r>
              <w:rPr>
                <w:rFonts w:hint="eastAsia" w:ascii="宋体" w:hAnsi="宋体"/>
                <w:sz w:val="18"/>
                <w:szCs w:val="18"/>
                <w:lang w:val="en-US" w:eastAsia="zh-CN"/>
              </w:rPr>
              <w:t>消防设施设备维保</w:t>
            </w:r>
          </w:p>
          <w:p>
            <w:pPr>
              <w:keepNext w:val="0"/>
              <w:keepLines w:val="0"/>
              <w:suppressLineNumbers w:val="0"/>
              <w:spacing w:before="0" w:beforeAutospacing="0" w:after="0" w:afterAutospacing="0" w:line="360" w:lineRule="auto"/>
              <w:ind w:left="0" w:right="0"/>
              <w:jc w:val="center"/>
              <w:rPr>
                <w:rFonts w:hint="default" w:ascii="宋体" w:hAnsi="宋体"/>
                <w:sz w:val="18"/>
                <w:szCs w:val="18"/>
                <w:lang w:val="en-US" w:eastAsia="zh-CN"/>
              </w:rPr>
            </w:pPr>
            <w:r>
              <w:rPr>
                <w:rFonts w:hint="eastAsia" w:ascii="宋体" w:hAnsi="宋体"/>
                <w:sz w:val="18"/>
                <w:szCs w:val="18"/>
                <w:lang w:val="en-US" w:eastAsia="zh-CN"/>
              </w:rPr>
              <w:t>（80分）</w:t>
            </w:r>
          </w:p>
        </w:tc>
        <w:tc>
          <w:tcPr>
            <w:tcW w:w="674"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default" w:ascii="宋体" w:hAnsi="宋体" w:cs="宋体"/>
                <w:sz w:val="18"/>
                <w:szCs w:val="18"/>
              </w:rPr>
              <w:t>火灾自动报警、火灾警报和应急广播系统系统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火灾自动报警主机的声、光显示和所有外设警示设备功能</w:t>
            </w:r>
          </w:p>
        </w:tc>
        <w:tc>
          <w:tcPr>
            <w:tcW w:w="1817" w:type="pct"/>
            <w:vMerge w:val="restart"/>
            <w:vAlign w:val="top"/>
          </w:tcPr>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lang w:eastAsia="zh-CN"/>
              </w:rPr>
            </w:pPr>
            <w:r>
              <w:rPr>
                <w:rFonts w:hint="eastAsia" w:ascii="宋体" w:hAnsi="宋体"/>
                <w:sz w:val="18"/>
                <w:szCs w:val="18"/>
                <w:lang w:val="en-US" w:eastAsia="zh-CN"/>
              </w:rPr>
              <w:t>1、</w:t>
            </w:r>
            <w:r>
              <w:rPr>
                <w:rFonts w:hint="eastAsia" w:ascii="宋体" w:hAnsi="宋体"/>
                <w:sz w:val="18"/>
                <w:szCs w:val="18"/>
              </w:rPr>
              <w:t>火灾自动报警主机声、光显示及外设警示设备有故障,每发现1次扣1分</w:t>
            </w:r>
            <w:r>
              <w:rPr>
                <w:rFonts w:hint="eastAsia" w:ascii="宋体" w:hAnsi="宋体"/>
                <w:sz w:val="18"/>
                <w:szCs w:val="18"/>
                <w:lang w:eastAsia="zh-CN"/>
              </w:rPr>
              <w:t>。</w:t>
            </w:r>
          </w:p>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rPr>
            </w:pPr>
            <w:r>
              <w:rPr>
                <w:rFonts w:hint="eastAsia" w:ascii="宋体" w:hAnsi="宋体"/>
                <w:sz w:val="18"/>
                <w:szCs w:val="18"/>
              </w:rPr>
              <w:t>2、火灾探测器和手动报警器消防火灾报警</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不能正常巡检,报警有故障,每发现1次扣1分。</w:t>
            </w:r>
          </w:p>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rPr>
              <w:t>主备电源不能正常切换,每发现1次扣1分。</w:t>
            </w:r>
          </w:p>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eastAsia="宋体"/>
                <w:sz w:val="18"/>
                <w:szCs w:val="18"/>
                <w:lang w:eastAsia="zh-CN"/>
              </w:rPr>
            </w:pPr>
            <w:r>
              <w:rPr>
                <w:rFonts w:hint="eastAsia" w:ascii="宋体" w:hAnsi="宋体"/>
                <w:sz w:val="18"/>
                <w:szCs w:val="18"/>
              </w:rPr>
              <w:t>4、室内消火栓、喷淋、防火卷市门、正压送风、机械排烟声光报警、消防广播、应急照明、消防电梯联动功能测试有故障,每发现1次扣1分</w:t>
            </w:r>
            <w:r>
              <w:rPr>
                <w:rFonts w:hint="eastAsia" w:ascii="宋体" w:hAnsi="宋体"/>
                <w:sz w:val="18"/>
                <w:szCs w:val="18"/>
                <w:lang w:eastAsia="zh-CN"/>
              </w:rPr>
              <w:t>。</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火灾探测器和手动报警按钮的动作及确认灯显示</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自动喷淋系统水流指示器、压力开关等信号设备的反馈情况</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对备用电源供电系统进行二次主电源和备用电源自动切换试验</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室内消火栓及喷淋系统联动功能测试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防火卷帘系统联动功能测试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正压送风、机械排烟系统联动功能测试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声光报警、消防广播、应急照明联动功能测试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top"/>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消防电梯联动功能测试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default" w:ascii="宋体" w:hAnsi="宋体" w:cs="宋体"/>
              </w:rPr>
              <w:t>自动喷水灭火系统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定期对进水阀、报警阀进行外观检查，并保证系统无故障状态</w:t>
            </w:r>
          </w:p>
        </w:tc>
        <w:tc>
          <w:tcPr>
            <w:tcW w:w="1817" w:type="pct"/>
            <w:vMerge w:val="restart"/>
            <w:vAlign w:val="top"/>
          </w:tcPr>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不能启动运转喷淋泵扣2分</w:t>
            </w:r>
          </w:p>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rPr>
            </w:pPr>
            <w:r>
              <w:rPr>
                <w:rFonts w:hint="eastAsia" w:ascii="宋体" w:hAnsi="宋体"/>
                <w:sz w:val="18"/>
                <w:szCs w:val="18"/>
              </w:rPr>
              <w:t>2、报警阀放水试验供水、压力开关、水力警铃报警存在故障各扣2分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3、末端排水,水流指示器报警故障扣分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4、消防水池储水量未到达规定水位,水质混浊扣2分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5、</w:t>
            </w:r>
            <w:r>
              <w:rPr>
                <w:rFonts w:hint="eastAsia" w:ascii="宋体" w:hAnsi="宋体"/>
                <w:sz w:val="18"/>
                <w:szCs w:val="18"/>
              </w:rPr>
              <w:t>各阀门开闭及铅封有异常扣2分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6、喷淋管道有跑、</w:t>
            </w:r>
            <w:r>
              <w:rPr>
                <w:rFonts w:hint="eastAsia" w:ascii="宋体" w:hAnsi="宋体"/>
                <w:sz w:val="18"/>
                <w:szCs w:val="18"/>
                <w:lang w:val="en-US" w:eastAsia="zh-CN"/>
              </w:rPr>
              <w:t>冒</w:t>
            </w:r>
            <w:r>
              <w:rPr>
                <w:rFonts w:hint="eastAsia" w:ascii="宋体" w:hAnsi="宋体"/>
                <w:sz w:val="18"/>
                <w:szCs w:val="18"/>
              </w:rPr>
              <w:t>、漏、滴现象扣2分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eastAsia="宋体"/>
                <w:sz w:val="18"/>
                <w:szCs w:val="18"/>
                <w:lang w:eastAsia="zh-CN"/>
              </w:rPr>
            </w:pPr>
            <w:r>
              <w:rPr>
                <w:rFonts w:hint="eastAsia" w:ascii="宋体" w:hAnsi="宋体"/>
                <w:sz w:val="18"/>
                <w:szCs w:val="18"/>
              </w:rPr>
              <w:t>检查喷淋管道上各</w:t>
            </w:r>
            <w:r>
              <w:rPr>
                <w:rFonts w:hint="eastAsia" w:ascii="宋体" w:hAnsi="宋体"/>
                <w:sz w:val="18"/>
                <w:szCs w:val="18"/>
                <w:lang w:val="en-US" w:eastAsia="zh-CN"/>
              </w:rPr>
              <w:t>阀</w:t>
            </w:r>
            <w:r>
              <w:rPr>
                <w:rFonts w:hint="eastAsia" w:ascii="宋体" w:hAnsi="宋体"/>
                <w:sz w:val="18"/>
                <w:szCs w:val="18"/>
              </w:rPr>
              <w:t>门处于正确位置</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对消防水池及供水能力测试，及检测水质</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对控制柜各操作开关、指示灯，内部接线端子的检查，保证控制面板正常显示</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对系统阀门、湿式报警阀、水流指示器，信号蝶阀的功能检验及喷头的检查和测试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对系统管道进行一次重新标识</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对末端放水装置放水，试验水流指示器的报警性能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对水泵电机绝缘电阻测试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8"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对稳压泵进行手动及自动试运转测试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对电动泵进行手动及自动试运转测试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default" w:ascii="宋体" w:hAnsi="宋体" w:cs="宋体"/>
                <w:sz w:val="18"/>
                <w:szCs w:val="18"/>
              </w:rPr>
              <w:t>消火栓系统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对供水装置进行供水能力测试，及时对消防水池及水质进行检查</w:t>
            </w:r>
          </w:p>
        </w:tc>
        <w:tc>
          <w:tcPr>
            <w:tcW w:w="1817" w:type="pct"/>
            <w:vMerge w:val="restart"/>
            <w:vAlign w:val="top"/>
          </w:tcPr>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eastAsia="宋体"/>
                <w:sz w:val="18"/>
                <w:szCs w:val="18"/>
                <w:lang w:val="en-US" w:eastAsia="zh-CN"/>
              </w:rPr>
            </w:pPr>
            <w:r>
              <w:rPr>
                <w:rFonts w:hint="eastAsia" w:ascii="宋体" w:hAnsi="宋体"/>
                <w:sz w:val="18"/>
                <w:szCs w:val="18"/>
                <w:lang w:val="en-US" w:eastAsia="zh-CN"/>
              </w:rPr>
              <w:t>1、</w:t>
            </w:r>
            <w:r>
              <w:rPr>
                <w:rFonts w:hint="eastAsia" w:ascii="宋体" w:hAnsi="宋体"/>
                <w:sz w:val="18"/>
                <w:szCs w:val="18"/>
              </w:rPr>
              <w:t>不能启动运转消防泵扣</w:t>
            </w:r>
            <w:r>
              <w:rPr>
                <w:rFonts w:hint="eastAsia" w:ascii="宋体" w:hAnsi="宋体"/>
                <w:sz w:val="18"/>
                <w:szCs w:val="18"/>
                <w:lang w:val="en-US" w:eastAsia="zh-CN"/>
              </w:rPr>
              <w:t>2分</w:t>
            </w:r>
          </w:p>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eastAsia="宋体"/>
                <w:sz w:val="18"/>
                <w:szCs w:val="18"/>
                <w:lang w:val="en-US" w:eastAsia="zh-CN"/>
              </w:rPr>
            </w:pPr>
            <w:r>
              <w:rPr>
                <w:rFonts w:hint="eastAsia" w:ascii="宋体" w:hAnsi="宋体"/>
                <w:sz w:val="18"/>
                <w:szCs w:val="18"/>
              </w:rPr>
              <w:t>2</w:t>
            </w:r>
            <w:r>
              <w:rPr>
                <w:rFonts w:hint="eastAsia" w:ascii="宋体" w:hAnsi="宋体"/>
                <w:sz w:val="18"/>
                <w:szCs w:val="18"/>
                <w:lang w:eastAsia="zh-CN"/>
              </w:rPr>
              <w:t>、</w:t>
            </w:r>
            <w:r>
              <w:rPr>
                <w:rFonts w:hint="eastAsia" w:ascii="宋体" w:hAnsi="宋体"/>
                <w:sz w:val="18"/>
                <w:szCs w:val="18"/>
                <w:lang w:val="en-US" w:eastAsia="zh-CN"/>
              </w:rPr>
              <w:t>主、</w:t>
            </w:r>
            <w:r>
              <w:rPr>
                <w:rFonts w:hint="eastAsia" w:ascii="宋体" w:hAnsi="宋体"/>
                <w:sz w:val="18"/>
                <w:szCs w:val="18"/>
              </w:rPr>
              <w:t>备泵不能正</w:t>
            </w:r>
            <w:r>
              <w:rPr>
                <w:rFonts w:hint="eastAsia" w:ascii="宋体" w:hAnsi="宋体"/>
                <w:sz w:val="18"/>
                <w:szCs w:val="18"/>
                <w:lang w:val="en-US" w:eastAsia="zh-CN"/>
              </w:rPr>
              <w:t>常切换扣2分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3、各阀门启闭有故障扣2分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4</w:t>
            </w:r>
            <w:r>
              <w:rPr>
                <w:rFonts w:hint="eastAsia" w:ascii="宋体" w:hAnsi="宋体"/>
                <w:sz w:val="18"/>
                <w:szCs w:val="18"/>
                <w:lang w:eastAsia="zh-CN"/>
              </w:rPr>
              <w:t>、</w:t>
            </w:r>
            <w:r>
              <w:rPr>
                <w:rFonts w:hint="eastAsia" w:ascii="宋体" w:hAnsi="宋体"/>
                <w:sz w:val="18"/>
                <w:szCs w:val="18"/>
                <w:lang w:val="en-US" w:eastAsia="zh-CN"/>
              </w:rPr>
              <w:t>消火栓</w:t>
            </w:r>
            <w:r>
              <w:rPr>
                <w:rFonts w:hint="eastAsia" w:ascii="宋体" w:hAnsi="宋体"/>
                <w:sz w:val="18"/>
                <w:szCs w:val="18"/>
              </w:rPr>
              <w:t>管道有跑、冒、漏、滴现象扣2分。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5、消防水池储水量末到达规定水位,水质混浊扣2分</w:t>
            </w:r>
          </w:p>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6、消火栓内未清洁一处扣1分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7、消防栓内水带发毒变质未及时更换一处扣1分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对控制柜各个操作开关、指示灯，内部接线端子的检查，保证控制面板正常显示</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对系统管道进行一次重新标识</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对电动机轴承上油，润滑检查及测试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对水泵进行手动及自动测试，检测水泵联动启动功能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对阀门、水泵接合器等进行检查</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定期排放管路内的水源，空气，冲洗管道</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检查箱内水带是否霉烂，水枪内有无杂物，消防水枪接口处的密封胶圈是否老化，是否有漏水现象以及保持消火栓箱内清洁</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检查消火栓管道上各阀门是否处于正确位置，有无锈蚀、滴漏</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定期对减压阀、过滤网、止回阀进行清洗</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sz w:val="18"/>
                <w:szCs w:val="18"/>
              </w:rPr>
            </w:pPr>
          </w:p>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default" w:ascii="宋体" w:hAnsi="宋体" w:cs="宋体"/>
                <w:sz w:val="18"/>
                <w:szCs w:val="18"/>
              </w:rPr>
              <w:t>防排烟系统</w:t>
            </w:r>
          </w:p>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对风机及电源控制箱的检查维护与功能测试</w:t>
            </w:r>
          </w:p>
        </w:tc>
        <w:tc>
          <w:tcPr>
            <w:tcW w:w="1817"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风机故障未及时修复,每发现一次扣2分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2、控</w:t>
            </w:r>
            <w:r>
              <w:rPr>
                <w:rFonts w:hint="eastAsia" w:ascii="宋体" w:hAnsi="宋体"/>
                <w:sz w:val="18"/>
                <w:szCs w:val="18"/>
              </w:rPr>
              <w:t>制箱</w:t>
            </w:r>
            <w:r>
              <w:rPr>
                <w:rFonts w:hint="eastAsia" w:ascii="宋体" w:hAnsi="宋体"/>
                <w:sz w:val="18"/>
                <w:szCs w:val="18"/>
                <w:lang w:val="en-US" w:eastAsia="zh-CN"/>
              </w:rPr>
              <w:t>未清洁</w:t>
            </w:r>
            <w:r>
              <w:rPr>
                <w:rFonts w:hint="eastAsia" w:ascii="宋体" w:hAnsi="宋体"/>
                <w:sz w:val="18"/>
                <w:szCs w:val="18"/>
              </w:rPr>
              <w:t>,每次</w:t>
            </w:r>
            <w:r>
              <w:rPr>
                <w:rFonts w:hint="eastAsia" w:ascii="宋体" w:hAnsi="宋体"/>
                <w:sz w:val="18"/>
                <w:szCs w:val="18"/>
                <w:lang w:val="en-US" w:eastAsia="zh-CN"/>
              </w:rPr>
              <w:t>扣</w:t>
            </w:r>
            <w:r>
              <w:rPr>
                <w:rFonts w:hint="eastAsia" w:ascii="宋体" w:hAnsi="宋体"/>
                <w:sz w:val="18"/>
                <w:szCs w:val="18"/>
              </w:rPr>
              <w:t>1分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3、未对控制柜接线镙丝鬆动的进行紧固处理每次扣1分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rPr>
              <w:t>未对系统进行联动测试每次扣2分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238"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对系统进行联动测试</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Merge w:val="continue"/>
            <w:vAlign w:val="top"/>
          </w:tcPr>
          <w:p>
            <w:pPr>
              <w:keepNext w:val="0"/>
              <w:keepLines w:val="0"/>
              <w:suppressLineNumbers w:val="0"/>
              <w:spacing w:before="0" w:beforeAutospacing="0" w:after="0" w:afterAutospacing="0"/>
              <w:ind w:left="0" w:right="0"/>
              <w:rPr>
                <w:rFonts w:hint="default"/>
              </w:rPr>
            </w:pPr>
          </w:p>
        </w:tc>
        <w:tc>
          <w:tcPr>
            <w:tcW w:w="165" w:type="pct"/>
            <w:vMerge w:val="continue"/>
            <w:vAlign w:val="top"/>
          </w:tcPr>
          <w:p>
            <w:pPr>
              <w:keepNext w:val="0"/>
              <w:keepLines w:val="0"/>
              <w:suppressLineNumbers w:val="0"/>
              <w:spacing w:before="0" w:beforeAutospacing="0" w:after="0" w:afterAutospacing="0"/>
              <w:ind w:left="0" w:right="0"/>
              <w:rPr>
                <w:rFonts w:hint="default"/>
              </w:rPr>
            </w:pPr>
          </w:p>
        </w:tc>
        <w:tc>
          <w:tcPr>
            <w:tcW w:w="180" w:type="pct"/>
            <w:vMerge w:val="continue"/>
            <w:vAlign w:val="top"/>
          </w:tcPr>
          <w:p>
            <w:pPr>
              <w:keepNext w:val="0"/>
              <w:keepLines w:val="0"/>
              <w:suppressLineNumbers w:val="0"/>
              <w:spacing w:before="0" w:beforeAutospacing="0" w:after="0" w:afterAutospacing="0"/>
              <w:ind w:left="0" w:right="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定期对风机控制箱进行清洁，螺丝进行紧固</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Merge w:val="continue"/>
            <w:vAlign w:val="top"/>
          </w:tcPr>
          <w:p>
            <w:pPr>
              <w:keepNext w:val="0"/>
              <w:keepLines w:val="0"/>
              <w:suppressLineNumbers w:val="0"/>
              <w:spacing w:before="0" w:beforeAutospacing="0" w:after="0" w:afterAutospacing="0"/>
              <w:ind w:left="0" w:right="0"/>
              <w:rPr>
                <w:rFonts w:hint="default"/>
              </w:rPr>
            </w:pPr>
          </w:p>
        </w:tc>
        <w:tc>
          <w:tcPr>
            <w:tcW w:w="165" w:type="pct"/>
            <w:vMerge w:val="continue"/>
            <w:vAlign w:val="top"/>
          </w:tcPr>
          <w:p>
            <w:pPr>
              <w:keepNext w:val="0"/>
              <w:keepLines w:val="0"/>
              <w:suppressLineNumbers w:val="0"/>
              <w:spacing w:before="0" w:beforeAutospacing="0" w:after="0" w:afterAutospacing="0"/>
              <w:ind w:left="0" w:right="0"/>
              <w:rPr>
                <w:rFonts w:hint="default"/>
              </w:rPr>
            </w:pPr>
          </w:p>
        </w:tc>
        <w:tc>
          <w:tcPr>
            <w:tcW w:w="180" w:type="pct"/>
            <w:vMerge w:val="continue"/>
            <w:vAlign w:val="top"/>
          </w:tcPr>
          <w:p>
            <w:pPr>
              <w:keepNext w:val="0"/>
              <w:keepLines w:val="0"/>
              <w:suppressLineNumbers w:val="0"/>
              <w:spacing w:before="0" w:beforeAutospacing="0" w:after="0" w:afterAutospacing="0"/>
              <w:ind w:left="0" w:right="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检查风机运转情况</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Merge w:val="continue"/>
            <w:vAlign w:val="top"/>
          </w:tcPr>
          <w:p>
            <w:pPr>
              <w:keepNext w:val="0"/>
              <w:keepLines w:val="0"/>
              <w:suppressLineNumbers w:val="0"/>
              <w:spacing w:before="0" w:beforeAutospacing="0" w:after="0" w:afterAutospacing="0"/>
              <w:ind w:left="0" w:right="0"/>
              <w:rPr>
                <w:rFonts w:hint="default"/>
              </w:rPr>
            </w:pPr>
          </w:p>
        </w:tc>
        <w:tc>
          <w:tcPr>
            <w:tcW w:w="165" w:type="pct"/>
            <w:vMerge w:val="continue"/>
            <w:vAlign w:val="top"/>
          </w:tcPr>
          <w:p>
            <w:pPr>
              <w:keepNext w:val="0"/>
              <w:keepLines w:val="0"/>
              <w:suppressLineNumbers w:val="0"/>
              <w:spacing w:before="0" w:beforeAutospacing="0" w:after="0" w:afterAutospacing="0"/>
              <w:ind w:left="0" w:right="0"/>
              <w:rPr>
                <w:rFonts w:hint="default"/>
              </w:rPr>
            </w:pPr>
          </w:p>
        </w:tc>
        <w:tc>
          <w:tcPr>
            <w:tcW w:w="180" w:type="pct"/>
            <w:vMerge w:val="continue"/>
            <w:vAlign w:val="top"/>
          </w:tcPr>
          <w:p>
            <w:pPr>
              <w:keepNext w:val="0"/>
              <w:keepLines w:val="0"/>
              <w:suppressLineNumbers w:val="0"/>
              <w:spacing w:before="0" w:beforeAutospacing="0" w:after="0" w:afterAutospacing="0"/>
              <w:ind w:left="0" w:right="0"/>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default" w:ascii="宋体" w:hAnsi="宋体" w:cs="宋体"/>
                <w:sz w:val="18"/>
                <w:szCs w:val="18"/>
              </w:rPr>
              <w:t>消防电话系统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消防电话系统测试</w:t>
            </w:r>
          </w:p>
        </w:tc>
        <w:tc>
          <w:tcPr>
            <w:tcW w:w="1817" w:type="pct"/>
            <w:vMerge w:val="restar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1、主机功能故障未及时发现或修复扣2分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2、消防电话损坏,一处扣1分</w:t>
            </w:r>
          </w:p>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3、电话未清洁一处扣1分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4、机房、水泵房消防电话不能与中控室进行对讲扣2分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检查各分机的性能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对插孔电话进行测试，确保通话正常</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default" w:ascii="宋体" w:hAnsi="宋体" w:cs="宋体"/>
                <w:sz w:val="18"/>
                <w:szCs w:val="18"/>
              </w:rPr>
              <w:t>气体灭火系统</w:t>
            </w: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对灭火剂储存装置,驱动裝置的检查,灭火剂储量应符合要求</w:t>
            </w:r>
          </w:p>
        </w:tc>
        <w:tc>
          <w:tcPr>
            <w:tcW w:w="1817"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1、系统未清清,扣</w:t>
            </w:r>
            <w:r>
              <w:rPr>
                <w:rFonts w:hint="eastAsia" w:ascii="宋体" w:hAnsi="宋体"/>
                <w:sz w:val="18"/>
                <w:szCs w:val="18"/>
                <w:lang w:val="en-US" w:eastAsia="zh-CN"/>
              </w:rPr>
              <w:t>1</w:t>
            </w:r>
            <w:r>
              <w:rPr>
                <w:rFonts w:hint="eastAsia" w:ascii="宋体" w:hAnsi="宋体"/>
                <w:sz w:val="18"/>
                <w:szCs w:val="18"/>
              </w:rPr>
              <w:t>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rPr>
              <w:t>、灭火剂泄漏达不到要求扣2分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3</w:t>
            </w:r>
            <w:r>
              <w:rPr>
                <w:rFonts w:hint="eastAsia" w:ascii="宋体" w:hAnsi="宋体"/>
                <w:sz w:val="18"/>
                <w:szCs w:val="18"/>
              </w:rPr>
              <w:t>、驱动瓶泄漏,驱动气体达不到要求</w:t>
            </w:r>
            <w:r>
              <w:rPr>
                <w:rFonts w:hint="eastAsia" w:ascii="宋体" w:hAnsi="宋体"/>
                <w:sz w:val="18"/>
                <w:szCs w:val="18"/>
                <w:lang w:val="en-US" w:eastAsia="zh-CN"/>
              </w:rPr>
              <w:t>扣1</w:t>
            </w:r>
            <w:r>
              <w:rPr>
                <w:rFonts w:hint="eastAsia" w:ascii="宋体" w:hAnsi="宋体"/>
                <w:sz w:val="18"/>
                <w:szCs w:val="18"/>
              </w:rPr>
              <w:t>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rPr>
              <w:t>、控制器</w:t>
            </w:r>
            <w:r>
              <w:rPr>
                <w:rFonts w:hint="eastAsia" w:ascii="宋体" w:hAnsi="宋体"/>
                <w:sz w:val="18"/>
                <w:szCs w:val="18"/>
                <w:lang w:val="en-US" w:eastAsia="zh-CN"/>
              </w:rPr>
              <w:t>故</w:t>
            </w:r>
            <w:r>
              <w:rPr>
                <w:rFonts w:hint="eastAsia" w:ascii="宋体" w:hAnsi="宋体"/>
                <w:sz w:val="18"/>
                <w:szCs w:val="18"/>
              </w:rPr>
              <w:t>障未及时修复扣2分</w:t>
            </w:r>
          </w:p>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5</w:t>
            </w:r>
            <w:r>
              <w:rPr>
                <w:rFonts w:hint="eastAsia" w:ascii="宋体" w:hAnsi="宋体"/>
                <w:sz w:val="18"/>
                <w:szCs w:val="18"/>
              </w:rPr>
              <w:t>、其它系统硬件</w:t>
            </w:r>
            <w:r>
              <w:rPr>
                <w:rFonts w:hint="eastAsia" w:ascii="宋体" w:hAnsi="宋体"/>
                <w:sz w:val="18"/>
                <w:szCs w:val="18"/>
                <w:lang w:val="en-US" w:eastAsia="zh-CN"/>
              </w:rPr>
              <w:t>故</w:t>
            </w:r>
            <w:r>
              <w:rPr>
                <w:rFonts w:hint="eastAsia" w:ascii="宋体" w:hAnsi="宋体"/>
                <w:sz w:val="18"/>
                <w:szCs w:val="18"/>
              </w:rPr>
              <w:t>障扣</w:t>
            </w:r>
            <w:r>
              <w:rPr>
                <w:rFonts w:hint="eastAsia" w:ascii="宋体" w:hAnsi="宋体"/>
                <w:sz w:val="18"/>
                <w:szCs w:val="18"/>
                <w:lang w:val="en-US" w:eastAsia="zh-CN"/>
              </w:rPr>
              <w:t>1分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对储存容器、容器阀、电磁启动</w:t>
            </w:r>
            <w:r>
              <w:rPr>
                <w:rFonts w:hint="eastAsia" w:ascii="宋体" w:hAnsi="宋体"/>
                <w:sz w:val="18"/>
                <w:szCs w:val="18"/>
                <w:lang w:val="en-US" w:eastAsia="zh-CN"/>
              </w:rPr>
              <w:t>阀</w:t>
            </w:r>
            <w:r>
              <w:rPr>
                <w:rFonts w:hint="eastAsia" w:ascii="宋体" w:hAnsi="宋体"/>
                <w:sz w:val="18"/>
                <w:szCs w:val="18"/>
              </w:rPr>
              <w:t>、压力表、喷头及整个组对报警</w:t>
            </w:r>
            <w:r>
              <w:rPr>
                <w:rFonts w:hint="eastAsia" w:ascii="宋体" w:hAnsi="宋体"/>
                <w:sz w:val="18"/>
                <w:szCs w:val="18"/>
                <w:lang w:val="en-US" w:eastAsia="zh-CN"/>
              </w:rPr>
              <w:t>控</w:t>
            </w:r>
            <w:r>
              <w:rPr>
                <w:rFonts w:hint="eastAsia" w:ascii="宋体" w:hAnsi="宋体"/>
                <w:sz w:val="18"/>
                <w:szCs w:val="18"/>
              </w:rPr>
              <w:t>制器</w:t>
            </w:r>
            <w:r>
              <w:rPr>
                <w:rFonts w:hint="eastAsia" w:ascii="宋体" w:hAnsi="宋体"/>
                <w:sz w:val="18"/>
                <w:szCs w:val="18"/>
                <w:lang w:eastAsia="zh-CN"/>
              </w:rPr>
              <w:t>，</w:t>
            </w:r>
            <w:r>
              <w:rPr>
                <w:rFonts w:hint="eastAsia" w:ascii="宋体" w:hAnsi="宋体"/>
                <w:sz w:val="18"/>
                <w:szCs w:val="18"/>
              </w:rPr>
              <w:t>模块箱</w:t>
            </w:r>
            <w:r>
              <w:rPr>
                <w:rFonts w:hint="eastAsia" w:ascii="宋体" w:hAnsi="宋体"/>
                <w:sz w:val="18"/>
                <w:szCs w:val="18"/>
                <w:lang w:eastAsia="zh-CN"/>
              </w:rPr>
              <w:t>，</w:t>
            </w:r>
            <w:r>
              <w:rPr>
                <w:rFonts w:hint="eastAsia" w:ascii="宋体" w:hAnsi="宋体"/>
                <w:sz w:val="18"/>
                <w:szCs w:val="18"/>
              </w:rPr>
              <w:t>端</w:t>
            </w:r>
            <w:r>
              <w:rPr>
                <w:rFonts w:hint="eastAsia" w:ascii="宋体" w:hAnsi="宋体"/>
                <w:sz w:val="18"/>
                <w:szCs w:val="18"/>
                <w:lang w:val="en-US" w:eastAsia="zh-CN"/>
              </w:rPr>
              <w:t>子</w:t>
            </w:r>
            <w:r>
              <w:rPr>
                <w:rFonts w:hint="eastAsia" w:ascii="宋体" w:hAnsi="宋体"/>
                <w:sz w:val="18"/>
                <w:szCs w:val="18"/>
              </w:rPr>
              <w:t>箱的接线情况检查</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检</w:t>
            </w:r>
            <w:r>
              <w:rPr>
                <w:rFonts w:hint="eastAsia" w:ascii="宋体" w:hAnsi="宋体"/>
                <w:sz w:val="18"/>
                <w:szCs w:val="18"/>
                <w:lang w:val="en-US" w:eastAsia="zh-CN"/>
              </w:rPr>
              <w:t>查</w:t>
            </w:r>
            <w:r>
              <w:rPr>
                <w:rFonts w:hint="eastAsia" w:ascii="宋体" w:hAnsi="宋体"/>
                <w:sz w:val="18"/>
                <w:szCs w:val="18"/>
              </w:rPr>
              <w:t>手动应急机械操作装置</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防火门、防火卷帘门系统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对卷帘门的外观检查，卡脱槽位状况</w:t>
            </w:r>
          </w:p>
        </w:tc>
        <w:tc>
          <w:tcPr>
            <w:tcW w:w="1817"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防火门不能正常开关,闭门器有故障扣2分。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2</w:t>
            </w:r>
            <w:r>
              <w:rPr>
                <w:rFonts w:hint="eastAsia" w:ascii="宋体" w:hAnsi="宋体"/>
                <w:sz w:val="18"/>
                <w:szCs w:val="18"/>
                <w:lang w:eastAsia="zh-CN"/>
              </w:rPr>
              <w:t>、</w:t>
            </w:r>
            <w:r>
              <w:rPr>
                <w:rFonts w:hint="eastAsia" w:ascii="宋体" w:hAnsi="宋体"/>
                <w:sz w:val="18"/>
                <w:szCs w:val="18"/>
              </w:rPr>
              <w:t>防火卷帘门不能远程及就地控制启停扣2分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3、防火卷帘门框损坏未及时修复每次扣2分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4、未对控箱灰进行清理每次扣1分,</w:t>
            </w:r>
          </w:p>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eastAsia="宋体"/>
                <w:sz w:val="15"/>
                <w:szCs w:val="15"/>
                <w:lang w:val="en-US" w:eastAsia="zh-CN"/>
              </w:rPr>
            </w:pPr>
            <w:r>
              <w:rPr>
                <w:rFonts w:hint="eastAsia" w:ascii="宋体" w:hAnsi="宋体"/>
                <w:sz w:val="18"/>
                <w:szCs w:val="18"/>
                <w:lang w:val="en-US" w:eastAsia="zh-CN"/>
              </w:rPr>
              <w:t>5、未对齿轮轴承等传动机构进行润滑处理每次扣2分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对电气控制箱内部电路检查，并测试功能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对系统进行手动及自动测试，测试联动控制功能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对控制箱进行除尘，螺丝紧固，齿轮等润滑处理</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升降机有无异常杂音或震动</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应急照明及疏散指示系统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检查安全出口指示是否正常状态</w:t>
            </w:r>
          </w:p>
        </w:tc>
        <w:tc>
          <w:tcPr>
            <w:tcW w:w="1817" w:type="pct"/>
            <w:vMerge w:val="restart"/>
            <w:vAlign w:val="top"/>
          </w:tcPr>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lang w:val="en-US" w:eastAsia="zh-CN"/>
              </w:rPr>
            </w:pPr>
            <w:r>
              <w:rPr>
                <w:rFonts w:hint="eastAsia" w:ascii="宋体" w:hAnsi="宋体"/>
                <w:sz w:val="18"/>
                <w:szCs w:val="18"/>
                <w:lang w:val="en-US" w:eastAsia="zh-CN"/>
              </w:rPr>
              <w:t>1、应急灯不亮扣1分</w:t>
            </w:r>
          </w:p>
          <w:p>
            <w:pPr>
              <w:keepNext w:val="0"/>
              <w:keepLines w:val="0"/>
              <w:numPr>
                <w:ilvl w:val="0"/>
                <w:numId w:val="0"/>
              </w:numPr>
              <w:suppressLineNumbers w:val="0"/>
              <w:spacing w:before="0" w:beforeAutospacing="0" w:after="0" w:afterAutospacing="0" w:line="360" w:lineRule="auto"/>
              <w:ind w:left="0" w:right="0" w:firstLine="0"/>
              <w:jc w:val="left"/>
              <w:rPr>
                <w:rFonts w:hint="eastAsia" w:ascii="宋体" w:hAnsi="宋体"/>
                <w:sz w:val="18"/>
                <w:szCs w:val="18"/>
                <w:lang w:val="en-US" w:eastAsia="zh-CN"/>
              </w:rPr>
            </w:pPr>
            <w:r>
              <w:rPr>
                <w:rFonts w:hint="eastAsia" w:ascii="宋体" w:hAnsi="宋体"/>
                <w:sz w:val="18"/>
                <w:szCs w:val="18"/>
                <w:lang w:val="en-US" w:eastAsia="zh-CN"/>
              </w:rPr>
              <w:t>2、指示灯不亮未及时更换扣1分</w:t>
            </w:r>
          </w:p>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sz w:val="18"/>
                <w:szCs w:val="18"/>
                <w:lang w:val="en-US" w:eastAsia="zh-CN"/>
              </w:rPr>
            </w:pPr>
            <w:r>
              <w:rPr>
                <w:rFonts w:hint="eastAsia" w:ascii="宋体" w:hAnsi="宋体"/>
                <w:sz w:val="18"/>
                <w:szCs w:val="18"/>
                <w:lang w:val="en-US" w:eastAsia="zh-CN"/>
              </w:rPr>
              <w:t>3、未固定扣1分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检查安全出口指示是否固定良好</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测试应急照明灯是否有效</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灭火器系统</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检查灭火器是否有效，是否欠压</w:t>
            </w:r>
          </w:p>
        </w:tc>
        <w:tc>
          <w:tcPr>
            <w:tcW w:w="1817" w:type="pct"/>
            <w:vMerge w:val="restart"/>
            <w:vAlign w:val="top"/>
          </w:tcPr>
          <w:p>
            <w:pPr>
              <w:keepNext w:val="0"/>
              <w:keepLines w:val="0"/>
              <w:numPr>
                <w:ilvl w:val="0"/>
                <w:numId w:val="1"/>
              </w:numPr>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灭火器过期未更换，每次扣1分</w:t>
            </w:r>
          </w:p>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sz w:val="18"/>
                <w:szCs w:val="18"/>
                <w:lang w:val="en-US" w:eastAsia="zh-CN"/>
              </w:rPr>
            </w:pPr>
            <w:r>
              <w:rPr>
                <w:rFonts w:hint="eastAsia" w:ascii="宋体" w:hAnsi="宋体"/>
                <w:sz w:val="18"/>
                <w:szCs w:val="18"/>
                <w:lang w:val="en-US" w:eastAsia="zh-CN"/>
              </w:rPr>
              <w:t>2、灭火器破损未更换扣1分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检查灭火器是否年检</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sz w:val="18"/>
                <w:szCs w:val="18"/>
                <w:lang w:val="en-US" w:eastAsia="zh-CN"/>
              </w:rPr>
            </w:pPr>
            <w:r>
              <w:rPr>
                <w:rFonts w:hint="eastAsia" w:ascii="宋体" w:hAnsi="宋体"/>
                <w:sz w:val="18"/>
                <w:szCs w:val="18"/>
                <w:lang w:val="en-US" w:eastAsia="zh-CN"/>
              </w:rPr>
              <w:t>消防水泡灭火系统</w:t>
            </w:r>
          </w:p>
        </w:tc>
        <w:tc>
          <w:tcPr>
            <w:tcW w:w="1563" w:type="pct"/>
            <w:vMerge w:val="restar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检查消防水泵的远程及就地控制功能，并启动试运行</w:t>
            </w:r>
          </w:p>
        </w:tc>
        <w:tc>
          <w:tcPr>
            <w:tcW w:w="1817" w:type="pct"/>
            <w:vMerge w:val="restart"/>
            <w:vAlign w:val="top"/>
          </w:tcPr>
          <w:p>
            <w:pPr>
              <w:keepNext w:val="0"/>
              <w:keepLines w:val="0"/>
              <w:numPr>
                <w:ilvl w:val="0"/>
                <w:numId w:val="0"/>
              </w:numPr>
              <w:suppressLineNumbers w:val="0"/>
              <w:spacing w:before="0" w:beforeAutospacing="0" w:after="0" w:afterAutospacing="0" w:line="360" w:lineRule="auto"/>
              <w:ind w:left="0" w:right="0" w:firstLine="0"/>
              <w:jc w:val="left"/>
              <w:rPr>
                <w:rFonts w:hint="default" w:ascii="宋体" w:hAnsi="宋体" w:eastAsia="宋体"/>
                <w:sz w:val="18"/>
                <w:szCs w:val="18"/>
                <w:lang w:val="en-US" w:eastAsia="zh-CN"/>
              </w:rPr>
            </w:pPr>
            <w:r>
              <w:rPr>
                <w:rFonts w:hint="eastAsia" w:ascii="宋体" w:hAnsi="宋体"/>
                <w:sz w:val="18"/>
                <w:szCs w:val="18"/>
                <w:lang w:val="en-US" w:eastAsia="zh-CN"/>
              </w:rPr>
              <w:t>1、</w:t>
            </w:r>
            <w:r>
              <w:rPr>
                <w:rFonts w:hint="eastAsia" w:ascii="宋体" w:hAnsi="宋体"/>
                <w:sz w:val="18"/>
                <w:szCs w:val="18"/>
              </w:rPr>
              <w:t>不能启动运转消防泵扣</w:t>
            </w:r>
            <w:r>
              <w:rPr>
                <w:rFonts w:hint="eastAsia" w:ascii="宋体" w:hAnsi="宋体"/>
                <w:sz w:val="18"/>
                <w:szCs w:val="18"/>
                <w:lang w:val="en-US" w:eastAsia="zh-CN"/>
              </w:rPr>
              <w:t>2分</w:t>
            </w:r>
          </w:p>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lang w:val="en-US" w:eastAsia="zh-CN"/>
              </w:rPr>
              <w:t>2</w:t>
            </w:r>
            <w:r>
              <w:rPr>
                <w:rFonts w:hint="eastAsia" w:ascii="宋体" w:hAnsi="宋体"/>
                <w:sz w:val="18"/>
                <w:szCs w:val="18"/>
              </w:rPr>
              <w:t>、消防水池储水量末到达规定水位扣2分</w:t>
            </w:r>
          </w:p>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3、无法手动或自动未及时修理扣2分</w:t>
            </w:r>
          </w:p>
          <w:p>
            <w:pPr>
              <w:keepNext w:val="0"/>
              <w:keepLines w:val="0"/>
              <w:suppressLineNumbers w:val="0"/>
              <w:spacing w:before="0" w:beforeAutospacing="0" w:after="0" w:afterAutospacing="0" w:line="360" w:lineRule="auto"/>
              <w:ind w:left="0" w:right="0"/>
              <w:jc w:val="left"/>
              <w:rPr>
                <w:rFonts w:hint="eastAsia" w:ascii="宋体" w:hAnsi="宋体" w:eastAsia="宋体"/>
                <w:sz w:val="18"/>
                <w:szCs w:val="18"/>
                <w:lang w:val="en-US" w:eastAsia="zh-CN"/>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Merge w:val="continue"/>
            <w:vAlign w:val="top"/>
          </w:tcPr>
          <w:p>
            <w:pPr>
              <w:keepNext w:val="0"/>
              <w:keepLines w:val="0"/>
              <w:suppressLineNumbers w:val="0"/>
              <w:spacing w:before="0" w:beforeAutospacing="0" w:after="0" w:afterAutospacing="0"/>
              <w:ind w:left="0" w:right="0"/>
              <w:rPr>
                <w:rFonts w:hint="default"/>
              </w:rPr>
            </w:pP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360" w:type="pct"/>
            <w:vMerge w:val="continue"/>
            <w:vAlign w:val="center"/>
          </w:tcPr>
          <w:p>
            <w:pPr>
              <w:keepNext w:val="0"/>
              <w:keepLines w:val="0"/>
              <w:suppressLineNumbers w:val="0"/>
              <w:spacing w:before="0" w:beforeAutospacing="0" w:after="0" w:afterAutospacing="0"/>
              <w:ind w:left="0" w:right="0"/>
              <w:rPr>
                <w:rFonts w:hint="default"/>
              </w:rPr>
            </w:pPr>
          </w:p>
        </w:tc>
        <w:tc>
          <w:tcPr>
            <w:tcW w:w="674" w:type="pct"/>
            <w:vMerge w:val="continue"/>
            <w:vAlign w:val="center"/>
          </w:tcPr>
          <w:p>
            <w:pPr>
              <w:keepNext w:val="0"/>
              <w:keepLines w:val="0"/>
              <w:suppressLineNumbers w:val="0"/>
              <w:spacing w:before="0" w:beforeAutospacing="0" w:after="0" w:afterAutospacing="0"/>
              <w:ind w:left="0" w:right="0"/>
              <w:rPr>
                <w:rFonts w:hint="default"/>
              </w:rPr>
            </w:pPr>
          </w:p>
        </w:tc>
        <w:tc>
          <w:tcPr>
            <w:tcW w:w="1563"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r>
              <w:rPr>
                <w:rFonts w:hint="eastAsia" w:ascii="宋体" w:hAnsi="宋体"/>
                <w:sz w:val="18"/>
                <w:szCs w:val="18"/>
              </w:rPr>
              <w:t>对消防供水水源及水位指示装置进行检查</w:t>
            </w:r>
          </w:p>
        </w:tc>
        <w:tc>
          <w:tcPr>
            <w:tcW w:w="1817" w:type="pct"/>
            <w:vMerge w:val="continue"/>
            <w:vAlign w:val="top"/>
          </w:tcPr>
          <w:p>
            <w:pPr>
              <w:keepNext w:val="0"/>
              <w:keepLines w:val="0"/>
              <w:suppressLineNumbers w:val="0"/>
              <w:spacing w:before="0" w:beforeAutospacing="0" w:after="0" w:afterAutospacing="0"/>
              <w:ind w:left="0" w:right="0"/>
              <w:rPr>
                <w:rFonts w:hint="default"/>
              </w:rPr>
            </w:pP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c>
          <w:tcPr>
            <w:tcW w:w="674"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18"/>
                <w:szCs w:val="18"/>
                <w:lang w:val="en-US" w:eastAsia="zh-CN"/>
              </w:rPr>
            </w:pPr>
            <w:r>
              <w:rPr>
                <w:rFonts w:hint="eastAsia" w:ascii="宋体" w:hAnsi="宋体"/>
                <w:sz w:val="18"/>
                <w:szCs w:val="18"/>
                <w:lang w:val="en-US" w:eastAsia="zh-CN"/>
              </w:rPr>
              <w:t>维保记录</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检查每月维保巡查、维修、检测、保养各项记录</w:t>
            </w:r>
          </w:p>
        </w:tc>
        <w:tc>
          <w:tcPr>
            <w:tcW w:w="1817" w:type="pc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rPr>
            </w:pPr>
            <w:r>
              <w:rPr>
                <w:rFonts w:hint="eastAsia" w:ascii="宋体" w:hAnsi="宋体"/>
                <w:sz w:val="18"/>
                <w:szCs w:val="18"/>
                <w:lang w:val="en-US" w:eastAsia="zh-CN"/>
              </w:rPr>
              <w:t>未按时填写，或伪造记录每次扣2分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6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28"/>
                <w:szCs w:val="28"/>
              </w:rPr>
            </w:pPr>
          </w:p>
        </w:tc>
        <w:tc>
          <w:tcPr>
            <w:tcW w:w="674" w:type="pc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应急救援</w:t>
            </w:r>
          </w:p>
        </w:tc>
        <w:tc>
          <w:tcPr>
            <w:tcW w:w="1563" w:type="pct"/>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突发紧急状况要求20分钟内到场，及时完成故障排除</w:t>
            </w:r>
          </w:p>
        </w:tc>
        <w:tc>
          <w:tcPr>
            <w:tcW w:w="1817"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lang w:val="en-US" w:eastAsia="zh-CN"/>
              </w:rPr>
            </w:pPr>
            <w:r>
              <w:rPr>
                <w:rFonts w:hint="eastAsia" w:ascii="宋体" w:hAnsi="宋体"/>
                <w:sz w:val="18"/>
                <w:szCs w:val="18"/>
                <w:lang w:val="en-US" w:eastAsia="zh-CN"/>
              </w:rPr>
              <w:t>未按时到场扣2分</w:t>
            </w:r>
          </w:p>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r>
              <w:rPr>
                <w:rFonts w:hint="eastAsia" w:ascii="宋体" w:hAnsi="宋体"/>
                <w:sz w:val="18"/>
                <w:szCs w:val="18"/>
                <w:lang w:val="en-US" w:eastAsia="zh-CN"/>
              </w:rPr>
              <w:t>未及时排除故障扣2分</w:t>
            </w:r>
          </w:p>
        </w:tc>
        <w:tc>
          <w:tcPr>
            <w:tcW w:w="238"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360" w:type="pct"/>
            <w:vAlign w:val="top"/>
          </w:tcPr>
          <w:p>
            <w:pPr>
              <w:keepNext w:val="0"/>
              <w:keepLines w:val="0"/>
              <w:suppressLineNumbers w:val="0"/>
              <w:spacing w:before="0" w:beforeAutospacing="0" w:after="0" w:afterAutospacing="0" w:line="360" w:lineRule="auto"/>
              <w:ind w:left="0" w:right="0"/>
              <w:jc w:val="left"/>
              <w:rPr>
                <w:rFonts w:hint="default" w:ascii="宋体" w:hAnsi="宋体" w:eastAsia="宋体"/>
                <w:sz w:val="28"/>
                <w:szCs w:val="28"/>
                <w:lang w:val="en-US" w:eastAsia="zh-CN"/>
              </w:rPr>
            </w:pPr>
            <w:r>
              <w:rPr>
                <w:rFonts w:hint="eastAsia" w:ascii="宋体" w:hAnsi="宋体"/>
                <w:sz w:val="28"/>
                <w:szCs w:val="28"/>
                <w:lang w:val="en-US" w:eastAsia="zh-CN"/>
              </w:rPr>
              <w:t>考评人员</w:t>
            </w:r>
          </w:p>
        </w:tc>
        <w:tc>
          <w:tcPr>
            <w:tcW w:w="4054" w:type="pct"/>
            <w:gridSpan w:val="3"/>
            <w:vAlign w:val="top"/>
          </w:tcPr>
          <w:p>
            <w:pPr>
              <w:keepNext w:val="0"/>
              <w:keepLines w:val="0"/>
              <w:suppressLineNumbers w:val="0"/>
              <w:spacing w:before="0" w:beforeAutospacing="0" w:after="0" w:afterAutospacing="0" w:line="360" w:lineRule="auto"/>
              <w:ind w:left="0" w:right="0"/>
              <w:jc w:val="left"/>
              <w:rPr>
                <w:rFonts w:hint="default" w:ascii="宋体" w:hAnsi="宋体"/>
                <w:sz w:val="18"/>
                <w:szCs w:val="18"/>
                <w:lang w:val="en-US" w:eastAsia="zh-CN"/>
              </w:rPr>
            </w:pPr>
          </w:p>
        </w:tc>
        <w:tc>
          <w:tcPr>
            <w:tcW w:w="238" w:type="pct"/>
            <w:vAlign w:val="center"/>
          </w:tcPr>
          <w:p>
            <w:pPr>
              <w:keepNext w:val="0"/>
              <w:keepLines w:val="0"/>
              <w:suppressLineNumbers w:val="0"/>
              <w:spacing w:before="0" w:beforeAutospacing="0" w:after="0" w:afterAutospacing="0" w:line="360" w:lineRule="auto"/>
              <w:ind w:left="0" w:right="0"/>
              <w:jc w:val="center"/>
              <w:rPr>
                <w:rFonts w:hint="eastAsia" w:ascii="宋体" w:hAnsi="宋体"/>
                <w:sz w:val="18"/>
                <w:szCs w:val="18"/>
              </w:rPr>
            </w:pPr>
            <w:r>
              <w:rPr>
                <w:rFonts w:hint="eastAsia" w:ascii="宋体" w:hAnsi="宋体"/>
                <w:sz w:val="28"/>
                <w:szCs w:val="28"/>
                <w:lang w:val="en-US" w:eastAsia="zh-CN"/>
              </w:rPr>
              <w:t>总分</w:t>
            </w:r>
          </w:p>
        </w:tc>
        <w:tc>
          <w:tcPr>
            <w:tcW w:w="165"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c>
          <w:tcPr>
            <w:tcW w:w="180" w:type="pct"/>
            <w:vAlign w:val="top"/>
          </w:tcPr>
          <w:p>
            <w:pPr>
              <w:keepNext w:val="0"/>
              <w:keepLines w:val="0"/>
              <w:suppressLineNumbers w:val="0"/>
              <w:spacing w:before="0" w:beforeAutospacing="0" w:after="0" w:afterAutospacing="0" w:line="360" w:lineRule="auto"/>
              <w:ind w:left="0" w:right="0"/>
              <w:jc w:val="left"/>
              <w:rPr>
                <w:rFonts w:hint="eastAsia" w:ascii="宋体" w:hAnsi="宋体"/>
                <w:sz w:val="18"/>
                <w:szCs w:val="18"/>
              </w:rPr>
            </w:pPr>
          </w:p>
        </w:tc>
      </w:tr>
    </w:tbl>
    <w:p>
      <w:pPr>
        <w:tabs>
          <w:tab w:val="left" w:pos="463"/>
        </w:tabs>
        <w:spacing w:line="360" w:lineRule="auto"/>
        <w:rPr>
          <w:rFonts w:hint="eastAsia" w:asciiTheme="minorEastAsia" w:hAnsiTheme="minorEastAsia"/>
          <w:b/>
          <w:bCs/>
          <w:sz w:val="24"/>
          <w:szCs w:val="24"/>
          <w:lang w:val="en-US" w:eastAsia="zh-CN"/>
        </w:rPr>
        <w:sectPr>
          <w:pgSz w:w="16838" w:h="11906" w:orient="landscape"/>
          <w:pgMar w:top="1803" w:right="1440" w:bottom="1803" w:left="1440" w:header="851" w:footer="992" w:gutter="0"/>
          <w:cols w:space="0" w:num="1"/>
          <w:rtlGutter w:val="0"/>
          <w:docGrid w:type="lines" w:linePitch="319" w:charSpace="0"/>
        </w:sectPr>
      </w:pPr>
    </w:p>
    <w:p>
      <w:pPr>
        <w:tabs>
          <w:tab w:val="left" w:pos="463"/>
        </w:tabs>
        <w:spacing w:line="360" w:lineRule="auto"/>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五</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综合评分法</w:t>
      </w:r>
    </w:p>
    <w:p>
      <w:pPr>
        <w:numPr>
          <w:ilvl w:val="0"/>
          <w:numId w:val="0"/>
        </w:numPr>
        <w:wordWrap w:val="0"/>
        <w:autoSpaceDE/>
        <w:autoSpaceDN/>
        <w:spacing w:before="0" w:after="160" w:line="360" w:lineRule="auto"/>
        <w:ind w:left="0" w:right="0" w:firstLine="420"/>
        <w:jc w:val="both"/>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1.表一初审表：</w:t>
      </w:r>
    </w:p>
    <w:tbl>
      <w:tblPr>
        <w:tblStyle w:val="8"/>
        <w:tblW w:w="8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4"/>
        <w:gridCol w:w="1799"/>
        <w:gridCol w:w="6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5" w:hRule="atLeast"/>
          <w:jc w:val="center"/>
        </w:trPr>
        <w:tc>
          <w:tcPr>
            <w:tcW w:w="514" w:type="dxa"/>
            <w:vMerge w:val="restart"/>
            <w:tcBorders>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资格性审查</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具有独立承担民事责任的能力</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具有良好的商业信誉和健全的财务会计制度</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1.投标人是法人的审查会计师事务所出具的2018或2019年度财务审计报告。</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2.投标人是其他组织或自然人的，审查银行近一年内出具的资信证明。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有依法缴纳税收和社会保障资金的良好记录</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1.提供递交投标文件截止之日前六个月内（至少一个月）的良好缴纳税收的相关凭据。（以税务机关提供的纳税凭据或银行入账单为准）</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2.提供递交投标文件截止之日前六个月内（至少一个月）缴纳社会保险的凭证。（以社保机构出具的专用收据或社会保险缴纳清单为准）</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具有履行合同所必须的设备和专业技术能力</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经营范围符合采购需求。</w:t>
            </w:r>
            <w:r>
              <w:rPr>
                <w:rFonts w:hint="default"/>
              </w:rPr>
              <w:t>营业执照内含消防维保、检测等相关内容。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参加采购活动前3年内，在经营活动中没有重大违法记录</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1.审查“参加本采购活动前3年内”投标人书面声明函；</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其他资质要求</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spacing w:before="0" w:beforeAutospacing="0" w:after="0" w:afterAutospacing="0" w:line="360" w:lineRule="auto"/>
              <w:ind w:left="0" w:right="0" w:firstLine="200"/>
              <w:jc w:val="both"/>
              <w:rPr>
                <w:rFonts w:hint="default" w:ascii="宋体" w:hAnsi="宋体" w:eastAsia="宋体" w:cs="宋体"/>
                <w:sz w:val="21"/>
                <w:szCs w:val="21"/>
              </w:rPr>
            </w:pPr>
            <w:r>
              <w:rPr>
                <w:rFonts w:hint="default" w:ascii="宋体" w:hAnsi="宋体" w:eastAsia="宋体" w:cs="宋体"/>
                <w:sz w:val="21"/>
                <w:szCs w:val="21"/>
              </w:rPr>
              <w:t>依据内蒙古自治区消防救援总队“关于推进内蒙古自治区消防技术服务工作暨启用消防技术服务执业管理平台的通知”，投标人须提供“内蒙古自治区消防技术服务</w:t>
            </w:r>
            <w:r>
              <w:rPr>
                <w:rFonts w:hint="eastAsia" w:ascii="宋体" w:hAnsi="宋体" w:eastAsia="宋体" w:cs="宋体"/>
                <w:sz w:val="21"/>
                <w:szCs w:val="21"/>
                <w:lang w:val="en-US" w:eastAsia="zh-CN"/>
              </w:rPr>
              <w:t>执</w:t>
            </w:r>
            <w:bookmarkStart w:id="1" w:name="_GoBack"/>
            <w:bookmarkEnd w:id="1"/>
            <w:r>
              <w:rPr>
                <w:rFonts w:hint="default" w:ascii="宋体" w:hAnsi="宋体" w:eastAsia="宋体" w:cs="宋体"/>
                <w:sz w:val="21"/>
                <w:szCs w:val="21"/>
              </w:rPr>
              <w:t>业管理平台”的注册使用网页截图等相关信息。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514" w:type="dxa"/>
            <w:vMerge w:val="restart"/>
            <w:tcBorders>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both"/>
              <w:rPr>
                <w:rFonts w:hint="default" w:ascii="宋体" w:hAnsi="宋体" w:eastAsia="宋体"/>
                <w:color w:val="auto"/>
                <w:position w:val="0"/>
                <w:sz w:val="21"/>
                <w:szCs w:val="21"/>
              </w:rPr>
            </w:pPr>
            <w:r>
              <w:rPr>
                <w:rFonts w:hint="default" w:ascii="宋体" w:hAnsi="宋体" w:eastAsia="宋体"/>
                <w:color w:val="auto"/>
                <w:position w:val="0"/>
                <w:sz w:val="21"/>
                <w:szCs w:val="21"/>
              </w:rPr>
              <w:t>符合性审查</w:t>
            </w:r>
          </w:p>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both"/>
              <w:rPr>
                <w:rFonts w:hint="default" w:ascii="宋体" w:hAnsi="宋体" w:eastAsia="宋体"/>
                <w:color w:val="auto"/>
                <w:position w:val="0"/>
                <w:sz w:val="21"/>
                <w:szCs w:val="21"/>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报名及保证金缴纳情况</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FF0000"/>
                <w:position w:val="0"/>
                <w:sz w:val="21"/>
                <w:szCs w:val="21"/>
              </w:rPr>
            </w:pPr>
            <w:r>
              <w:rPr>
                <w:rFonts w:hint="default" w:ascii="宋体" w:hAnsi="宋体" w:eastAsia="宋体"/>
                <w:color w:val="FF0000"/>
                <w:position w:val="0"/>
                <w:sz w:val="21"/>
                <w:szCs w:val="21"/>
              </w:rPr>
              <w:t>按要求进行报名、进行投标保证金缴纳，保证金在中标后转为履约金，待维保期结束后退还。（审查财务科出具的收据）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投标承诺书及法人授权委托书</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开标一览表</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投标文件规范性、符合性</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投标有效期</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主要商务条款</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满足招标文件关于响应时间、服务期、付款方式要求。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附加条件</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联合体投标</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vMerge w:val="restart"/>
            <w:tcBorders>
              <w:top w:val="single" w:color="auto" w:sz="4" w:space="0"/>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技术部分实质性内容</w:t>
            </w:r>
          </w:p>
        </w:tc>
        <w:tc>
          <w:tcPr>
            <w:tcW w:w="6600" w:type="dxa"/>
            <w:tcBorders>
              <w:top w:val="single" w:color="auto" w:sz="4" w:space="0"/>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主要技术参数指标（加“*”项）完全满足或优于招标文件要求。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vMerge w:val="continue"/>
            <w:tcBorders>
              <w:top w:val="single" w:color="auto" w:sz="4" w:space="0"/>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6600" w:type="dxa"/>
            <w:tcBorders>
              <w:top w:val="single" w:color="auto" w:sz="4" w:space="0"/>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投标报价</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514" w:type="dxa"/>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99" w:type="dxa"/>
            <w:tcBorders>
              <w:top w:val="single" w:color="auto" w:sz="4" w:space="0"/>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18"/>
                <w:szCs w:val="18"/>
              </w:rPr>
            </w:pPr>
            <w:r>
              <w:rPr>
                <w:rFonts w:hint="default" w:ascii="宋体" w:hAnsi="宋体" w:eastAsia="宋体"/>
                <w:color w:val="auto"/>
                <w:position w:val="0"/>
                <w:sz w:val="18"/>
                <w:szCs w:val="18"/>
              </w:rPr>
              <w:t>其他要求</w:t>
            </w:r>
          </w:p>
        </w:tc>
        <w:tc>
          <w:tcPr>
            <w:tcW w:w="6600" w:type="dxa"/>
            <w:tcBorders>
              <w:top w:val="single" w:color="auto" w:sz="4" w:space="0"/>
              <w:left w:val="single" w:color="auto" w:sz="4" w:space="0"/>
              <w:right w:val="single" w:color="auto" w:sz="4" w:space="0"/>
            </w:tcBorders>
            <w:shd w:val="clear" w:color="auto" w:fill="auto"/>
            <w:vAlign w:val="center"/>
          </w:tcPr>
          <w:p>
            <w:pPr>
              <w:keepNext w:val="0"/>
              <w:keepLines w:val="0"/>
              <w:numPr>
                <w:ilvl w:val="0"/>
                <w:numId w:val="0"/>
              </w:numPr>
              <w:suppressLineNumbers w:val="0"/>
              <w:wordWrap w:val="0"/>
              <w:autoSpaceDE/>
              <w:autoSpaceDN/>
              <w:spacing w:before="0" w:beforeAutospacing="0" w:after="160" w:afterAutospacing="0" w:line="240" w:lineRule="auto"/>
              <w:ind w:left="0"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招标文件要求的其他无效投标情形；围标、串标和法律法规规定的其它无效投标条款。</w:t>
            </w:r>
          </w:p>
        </w:tc>
      </w:tr>
    </w:tbl>
    <w:p>
      <w:pPr>
        <w:numPr>
          <w:ilvl w:val="0"/>
          <w:numId w:val="0"/>
        </w:numPr>
        <w:wordWrap w:val="0"/>
        <w:autoSpaceDE/>
        <w:autoSpaceDN/>
        <w:spacing w:before="0" w:after="160" w:line="360" w:lineRule="auto"/>
        <w:ind w:left="0" w:right="0" w:firstLine="42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 xml:space="preserve">2.详细评审表 </w:t>
      </w:r>
    </w:p>
    <w:tbl>
      <w:tblPr>
        <w:tblStyle w:val="8"/>
        <w:tblpPr w:vertAnchor="text" w:tblpX="-108" w:tblpY="1"/>
        <w:tblW w:w="8864" w:type="dxa"/>
        <w:tblInd w:w="0" w:type="dxa"/>
        <w:tblLayout w:type="fixed"/>
        <w:tblCellMar>
          <w:top w:w="0" w:type="dxa"/>
          <w:left w:w="0" w:type="dxa"/>
          <w:bottom w:w="0" w:type="dxa"/>
          <w:right w:w="0" w:type="dxa"/>
        </w:tblCellMar>
      </w:tblPr>
      <w:tblGrid>
        <w:gridCol w:w="528"/>
        <w:gridCol w:w="1701"/>
        <w:gridCol w:w="6635"/>
      </w:tblGrid>
      <w:tr>
        <w:tblPrEx>
          <w:tblCellMar>
            <w:top w:w="0" w:type="dxa"/>
            <w:left w:w="0" w:type="dxa"/>
            <w:bottom w:w="0" w:type="dxa"/>
            <w:right w:w="0" w:type="dxa"/>
          </w:tblCellMar>
        </w:tblPrEx>
        <w:trPr>
          <w:trHeight w:val="401" w:hRule="atLeast"/>
        </w:trPr>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评审因素</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评分标准</w:t>
            </w:r>
          </w:p>
        </w:tc>
      </w:tr>
      <w:tr>
        <w:tblPrEx>
          <w:tblCellMar>
            <w:top w:w="0" w:type="dxa"/>
            <w:left w:w="0" w:type="dxa"/>
            <w:bottom w:w="0" w:type="dxa"/>
            <w:right w:w="0" w:type="dxa"/>
          </w:tblCellMar>
        </w:tblPrEx>
        <w:trPr>
          <w:trHeight w:val="840" w:hRule="atLeast"/>
        </w:trPr>
        <w:tc>
          <w:tcPr>
            <w:tcW w:w="222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分值构成</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1、报价得分  20分；</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2、商务部分  30分；</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3、技术部分 50分。</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投标报价</w:t>
            </w:r>
          </w:p>
        </w:tc>
        <w:tc>
          <w:tcPr>
            <w:tcW w:w="1701"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评标基准价确定方法</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满足招标文件要求通过初步评审的且投标报价最低的为评标基准价。符合小型、微型企业等规定进行价格调整的,以调整后的价格计算评标基准价和投标报价。</w:t>
            </w:r>
          </w:p>
        </w:tc>
      </w:tr>
      <w:tr>
        <w:tblPrEx>
          <w:tblCellMar>
            <w:top w:w="0" w:type="dxa"/>
            <w:left w:w="0" w:type="dxa"/>
            <w:bottom w:w="0" w:type="dxa"/>
            <w:right w:w="0" w:type="dxa"/>
          </w:tblCellMar>
        </w:tblPrEx>
        <w:trPr>
          <w:trHeight w:val="567" w:hRule="atLeast"/>
        </w:trPr>
        <w:tc>
          <w:tcPr>
            <w:tcW w:w="5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投标报价得分（20分）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投标报价得分＝（评标基准价/投标报价）×20。</w:t>
            </w:r>
          </w:p>
        </w:tc>
      </w:tr>
      <w:tr>
        <w:tblPrEx>
          <w:tblCellMar>
            <w:top w:w="0" w:type="dxa"/>
            <w:left w:w="0" w:type="dxa"/>
            <w:bottom w:w="0" w:type="dxa"/>
            <w:right w:w="0" w:type="dxa"/>
          </w:tblCellMar>
        </w:tblPrEx>
        <w:trPr>
          <w:trHeight w:val="567" w:hRule="atLeast"/>
        </w:trPr>
        <w:tc>
          <w:tcPr>
            <w:tcW w:w="528" w:type="dxa"/>
            <w:vMerge w:val="restart"/>
            <w:tcBorders>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商务部分</w:t>
            </w:r>
          </w:p>
        </w:tc>
        <w:tc>
          <w:tcPr>
            <w:tcW w:w="1701"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业绩</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（15分）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投标人</w:t>
            </w:r>
            <w:r>
              <w:rPr>
                <w:rFonts w:hint="default" w:ascii="宋体" w:hAnsi="宋体" w:eastAsia="宋体"/>
                <w:b/>
                <w:color w:val="auto"/>
                <w:position w:val="0"/>
                <w:sz w:val="21"/>
                <w:szCs w:val="21"/>
              </w:rPr>
              <w:t>至少</w:t>
            </w:r>
            <w:r>
              <w:rPr>
                <w:rFonts w:hint="default" w:ascii="宋体" w:hAnsi="宋体" w:eastAsia="宋体"/>
                <w:b w:val="0"/>
                <w:color w:val="auto"/>
                <w:position w:val="0"/>
                <w:sz w:val="21"/>
                <w:szCs w:val="21"/>
              </w:rPr>
              <w:t>提供1份医疗卫生行业业绩。另可提供其他：学校、机场、车站、商场等大型公共场所消防维保服务类业绩，投标文件中附有其业绩证明材料，业绩以投标人的销售或服务合同为依据，合同金额大于等于20万元，合同期为开标截止日近三年内。每提供一个计3分，满分15分。</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rPr>
            </w:pPr>
            <w:r>
              <w:rPr>
                <w:rFonts w:hint="default" w:ascii="宋体" w:hAnsi="宋体" w:eastAsia="宋体"/>
                <w:b w:val="0"/>
                <w:color w:val="auto"/>
                <w:position w:val="0"/>
                <w:sz w:val="21"/>
                <w:szCs w:val="21"/>
              </w:rPr>
              <w:t>注：业绩（销售或服务合同）中甲乙双方签章、合同签订时间、</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Calibri" w:hAnsi="宋体" w:eastAsia="宋体"/>
                <w:b w:val="0"/>
                <w:color w:val="auto"/>
                <w:position w:val="0"/>
                <w:sz w:val="21"/>
                <w:szCs w:val="21"/>
              </w:rPr>
            </w:pPr>
            <w:r>
              <w:rPr>
                <w:rFonts w:hint="default" w:ascii="宋体" w:hAnsi="宋体" w:eastAsia="宋体"/>
                <w:b w:val="0"/>
                <w:color w:val="auto"/>
                <w:position w:val="0"/>
                <w:sz w:val="21"/>
                <w:szCs w:val="21"/>
              </w:rPr>
              <w:t>合同金额和项目名称必须清晰，否则不予评分。</w:t>
            </w:r>
          </w:p>
        </w:tc>
      </w:tr>
      <w:tr>
        <w:tblPrEx>
          <w:tblCellMar>
            <w:top w:w="0" w:type="dxa"/>
            <w:left w:w="0" w:type="dxa"/>
            <w:bottom w:w="0" w:type="dxa"/>
            <w:right w:w="0" w:type="dxa"/>
          </w:tblCellMar>
        </w:tblPrEx>
        <w:trPr>
          <w:trHeight w:val="544" w:hRule="atLeast"/>
        </w:trPr>
        <w:tc>
          <w:tcPr>
            <w:tcW w:w="5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财务状况</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（5分）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提供2018年或2019年财务审计报告其中的一份，得2分；两份全部提供的得满分5分。无不得分。</w:t>
            </w:r>
          </w:p>
        </w:tc>
      </w:tr>
      <w:tr>
        <w:tblPrEx>
          <w:tblCellMar>
            <w:top w:w="0" w:type="dxa"/>
            <w:left w:w="0" w:type="dxa"/>
            <w:bottom w:w="0" w:type="dxa"/>
            <w:right w:w="0" w:type="dxa"/>
          </w:tblCellMar>
        </w:tblPrEx>
        <w:trPr>
          <w:trHeight w:val="940" w:hRule="atLeast"/>
        </w:trPr>
        <w:tc>
          <w:tcPr>
            <w:tcW w:w="5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服务承诺</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（10分）</w:t>
            </w:r>
          </w:p>
        </w:tc>
        <w:tc>
          <w:tcPr>
            <w:tcW w:w="6635" w:type="dxa"/>
            <w:tcBorders>
              <w:top w:val="single" w:color="000000" w:sz="4" w:space="0"/>
              <w:bottom w:val="single" w:color="000000" w:sz="4" w:space="0"/>
              <w:right w:val="single" w:color="000000" w:sz="4" w:space="0"/>
            </w:tcBorders>
            <w:shd w:val="clear" w:color="auto" w:fill="auto"/>
            <w:vAlign w:val="top"/>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2"/>
                <w:szCs w:val="22"/>
              </w:rPr>
            </w:pPr>
            <w:r>
              <w:rPr>
                <w:rFonts w:hint="default"/>
                <w:color w:val="000000"/>
                <w:sz w:val="22"/>
                <w:szCs w:val="22"/>
              </w:rPr>
              <w:t xml:space="preserve">投标人对项目的实施方案进行承诺，涵盖是否有专业技术人员（两部人员配备分别详细列示，需要有人员证书等，另开标时查看证书原件）、应急响应机制、维修项目、达到标准等各方面，并在投标文件中出具承诺函（承诺函格式自拟，要条理清晰，并加盖公章）：综合评价最优的，得8-10分；次之得4-7分；其余得1-3分，未提供承诺函或未加盖公章不得分。  </w:t>
            </w:r>
          </w:p>
        </w:tc>
      </w:tr>
      <w:tr>
        <w:tblPrEx>
          <w:tblCellMar>
            <w:top w:w="0" w:type="dxa"/>
            <w:left w:w="0" w:type="dxa"/>
            <w:bottom w:w="0" w:type="dxa"/>
            <w:right w:w="0" w:type="dxa"/>
          </w:tblCellMar>
        </w:tblPrEx>
        <w:trPr>
          <w:trHeight w:val="782" w:hRule="atLeast"/>
        </w:trPr>
        <w:tc>
          <w:tcPr>
            <w:tcW w:w="528" w:type="dxa"/>
            <w:vMerge w:val="restart"/>
            <w:tcBorders>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 xml:space="preserve"> </w:t>
            </w:r>
          </w:p>
        </w:tc>
        <w:tc>
          <w:tcPr>
            <w:tcW w:w="1701"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主要技术参数（标“*”项）</w:t>
            </w:r>
          </w:p>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（17分）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所有产品主要技术参数指标（加“*”项）完全满足招标文件要求,得基础分9分；每有一项实质性优于,加2分，最多加8分。</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一般技术参数（未标“*”项）（23分）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所有产品一般技术参数指标（非“*”项）满足招标文件要求的得满分23分，每有一项技术参数不满足或负偏离扣3分,分值扣完为止。</w:t>
            </w:r>
          </w:p>
        </w:tc>
      </w:tr>
      <w:tr>
        <w:tblPrEx>
          <w:tblCellMar>
            <w:top w:w="0" w:type="dxa"/>
            <w:left w:w="0" w:type="dxa"/>
            <w:bottom w:w="0" w:type="dxa"/>
            <w:right w:w="0" w:type="dxa"/>
          </w:tblCellMar>
        </w:tblPrEx>
        <w:trPr>
          <w:trHeight w:val="980" w:hRule="atLeast"/>
        </w:trPr>
        <w:tc>
          <w:tcPr>
            <w:tcW w:w="52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center"/>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综合评价（10分）</w:t>
            </w:r>
          </w:p>
        </w:tc>
        <w:tc>
          <w:tcPr>
            <w:tcW w:w="6635"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keepNext w:val="0"/>
              <w:keepLines w:val="0"/>
              <w:numPr>
                <w:ilvl w:val="0"/>
                <w:numId w:val="0"/>
              </w:numPr>
              <w:suppressLineNumbers w:val="0"/>
              <w:wordWrap w:val="0"/>
              <w:autoSpaceDE/>
              <w:autoSpaceDN/>
              <w:spacing w:before="0" w:beforeAutospacing="0" w:after="0" w:afterAutospacing="0" w:line="240" w:lineRule="auto"/>
              <w:ind w:left="0" w:right="0" w:firstLine="0"/>
              <w:jc w:val="left"/>
              <w:rPr>
                <w:rFonts w:hint="default" w:ascii="宋体" w:hAnsi="宋体" w:eastAsia="宋体"/>
                <w:b w:val="0"/>
                <w:color w:val="auto"/>
                <w:position w:val="0"/>
                <w:sz w:val="21"/>
                <w:szCs w:val="21"/>
              </w:rPr>
            </w:pPr>
            <w:r>
              <w:rPr>
                <w:rFonts w:hint="default" w:ascii="宋体" w:hAnsi="宋体" w:eastAsia="宋体"/>
                <w:b w:val="0"/>
                <w:color w:val="auto"/>
                <w:position w:val="0"/>
                <w:sz w:val="21"/>
                <w:szCs w:val="21"/>
              </w:rPr>
              <w:t>根据投标厂家标书所体现的：质量管理体系（质量目标、质量保证）、安全管理体系（安全方案、措施）、项目人员（人员清单姓名、身份证号及相关资格证件，证书在开标时查看原件）等进行综合评价。最优得7--10分，较好得4--6分，最低得1--3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3.投标保证金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投标保证金9000元。成功缴纳保证金后，需持银行出具的回执单到财务科811室换取收据。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投标标保证金账户信息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4.投标保证金退回流程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val="en-US" w:eastAsia="zh-CN"/>
        </w:rPr>
      </w:pPr>
      <w:r>
        <w:rPr>
          <w:rFonts w:hint="eastAsia" w:ascii="宋体" w:hAnsi="宋体" w:eastAsia="宋体" w:cs="宋体"/>
          <w:b/>
          <w:bCs/>
          <w:color w:val="FF0000"/>
          <w:sz w:val="24"/>
          <w:szCs w:val="24"/>
          <w:lang w:val="en-US" w:eastAsia="zh-CN"/>
        </w:rPr>
        <w:t>投标保证金</w:t>
      </w:r>
      <w:r>
        <w:rPr>
          <w:rFonts w:hint="eastAsia" w:ascii="宋体" w:hAnsi="宋体" w:cs="宋体"/>
          <w:b/>
          <w:bCs/>
          <w:i w:val="0"/>
          <w:caps w:val="0"/>
          <w:color w:val="FF0000"/>
          <w:spacing w:val="0"/>
          <w:sz w:val="24"/>
          <w:szCs w:val="24"/>
          <w:lang w:val="en-US" w:eastAsia="zh-CN"/>
        </w:rPr>
        <w:t>未中标的厂家在开标结束后退还。中标单位</w:t>
      </w:r>
      <w:r>
        <w:rPr>
          <w:rFonts w:hint="eastAsia" w:ascii="宋体" w:hAnsi="宋体" w:eastAsia="宋体" w:cs="宋体"/>
          <w:b/>
          <w:bCs/>
          <w:color w:val="FF0000"/>
          <w:sz w:val="24"/>
          <w:szCs w:val="24"/>
          <w:lang w:val="en-US" w:eastAsia="zh-CN"/>
        </w:rPr>
        <w:t>待服务结束验收合格后退还。保证金的退还需先经保卫科负责人审核签字，然后持验收单及保证金收据到招标办签字或盖章，最后经财务科负责人签字后办理退还。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五、质疑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20"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5.质疑日期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（三）供应商在提出质疑时，请严格按照相关法律法规及质疑函范本要求提出和制作，否则，自行承担相关不利后果。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对捏造事实，提供虚假材料或者以非法手段取得证明材料进行恶意质疑的，一经查实，将上报监督部门，并不得再参与我院的任何采购项目。</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质疑电话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纪检监察室   电话：0477-8367180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1" w:firstLineChars="1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六、投标失信行为黑名单制度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投标失信行为黑名单制度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为规范院内招标采购活动，约束投标供应商行为，保障医院的合法权益，现制定院内招标采购黑名单制度。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一、投标供应商有如下行为的之一的，纳入黑名单目录。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黑名单记录内容：投标厂家名称、法人名称、报名联系人、开标联系人、联系电话等。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（一）提供、采用虚假报名材料进行投标报名；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（二）报名成功后无故不参加开标或开标迟到；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（三）在投标过程中存在陪标、串标、扰乱秩序等不良行为；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（四）开标后经采购小组审查招标文件，有虚假应标行为的。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（五）中标后10个工作日内无正当理由未签订采购合同或拒绝签订采购合同；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（六）中标后不履行招标公告要求，例如不按时完工或交货、不履行质保条款、将项目私自转包等；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（七）所供货物低于参数要求、工程项目未按要求施工，未能通过验收，存在欺诈行为等；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（八）无故弃标，无故弃标的厂家不予退还投标保证金（对在规定时间内不供货、不弃标的厂家在合同条款中要设置院方强制解除合同条款）。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（九）经我院认定的其他投标不良行为。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1.违反第1项、第2项、第3项、第4项条款的，自确定之日起，一年内不允许再次参加医院的招标采购活动。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2.违反第5项、第6项、第7项条款的，自确定之日起，三年内不允许再次参加医院的招标采购活动。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3.违反第8项及其他行为造成不良影响的，自确定之日起，永久不允许参加医院的招标采购活动。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以上条款需要管理科室及使用科室共同加强监管，发现问题由管理科室及时报送招标办备案。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三、本制度自下发之日起实施。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七、合同签订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保卫科联系电话：</w:t>
      </w:r>
      <w:r>
        <w:rPr>
          <w:rFonts w:hint="eastAsia" w:ascii="宋体" w:hAnsi="宋体" w:eastAsia="宋体" w:cs="宋体"/>
          <w:sz w:val="24"/>
          <w:szCs w:val="24"/>
          <w:lang w:val="en-US" w:eastAsia="zh-CN"/>
        </w:rPr>
        <w:t>0477—</w:t>
      </w:r>
      <w:r>
        <w:rPr>
          <w:rFonts w:hint="eastAsia" w:ascii="宋体" w:hAnsi="宋体" w:cs="宋体"/>
          <w:sz w:val="24"/>
          <w:szCs w:val="24"/>
          <w:lang w:val="en-US" w:eastAsia="zh-CN"/>
        </w:rPr>
        <w:t>8119216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招标办地址：门诊楼903室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2"/>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五、投标人基本情况表及其他资质要求</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六、投标保证金</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七、服务要求及标准响应表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八、服务承诺</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九、商务条款响应表</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十、供应商相关业绩情况证明材料</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十一、提供具有良好的商业信誉和健全的财务会计制度的证明材料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十二、提供依法缴纳税收和社会保障资金的良好记录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十三、参加政府采购前三年内在经营活动中无重大违法记录书面声明 </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十四、其他证明材料</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4"/>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进场时间</w:t>
            </w:r>
          </w:p>
        </w:tc>
        <w:tc>
          <w:tcPr>
            <w:tcW w:w="2018"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服务期（年）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numPr>
          <w:ilvl w:val="0"/>
          <w:numId w:val="4"/>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hint="eastAsia" w:ascii="宋体" w:hAnsi="宋体" w:eastAsia="宋体"/>
          <w:color w:val="000000"/>
          <w:sz w:val="24"/>
          <w:szCs w:val="24"/>
          <w:lang w:eastAsia="zh-CN"/>
        </w:rPr>
      </w:pPr>
    </w:p>
    <w:p>
      <w:pPr>
        <w:spacing w:line="360" w:lineRule="auto"/>
        <w:rPr>
          <w:rFonts w:hint="default" w:ascii="黑体" w:hAnsi="黑体" w:eastAsia="黑体" w:cs="黑体"/>
          <w:b w:val="0"/>
          <w:bCs w:val="0"/>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w:t>
      </w:r>
      <w:r>
        <w:rPr>
          <w:rFonts w:hint="eastAsia" w:ascii="黑体" w:hAnsi="黑体" w:eastAsia="黑体" w:cs="黑体"/>
          <w:b w:val="0"/>
          <w:bCs w:val="0"/>
          <w:color w:val="000000"/>
          <w:kern w:val="2"/>
          <w:sz w:val="32"/>
          <w:szCs w:val="32"/>
          <w:lang w:val="en-US" w:eastAsia="zh-CN" w:bidi="ar-SA"/>
        </w:rPr>
        <w:t>授权委托书</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540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336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643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643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438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5"/>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投标保证金</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（提供收据复印件）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p>
    <w:p>
      <w:pPr>
        <w:numPr>
          <w:ilvl w:val="0"/>
          <w:numId w:val="0"/>
        </w:numPr>
        <w:spacing w:line="360" w:lineRule="auto"/>
        <w:jc w:val="both"/>
        <w:rPr>
          <w:rFonts w:hint="default"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七、服务要求及标准响应表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八、服务承诺</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firstLine="440" w:firstLineChars="200"/>
        <w:jc w:val="left"/>
        <w:textAlignment w:val="auto"/>
        <w:rPr>
          <w:rFonts w:hint="eastAsia" w:ascii="宋体" w:hAnsi="宋体" w:eastAsia="宋体" w:cs="宋体"/>
          <w:b/>
          <w:bCs/>
          <w:sz w:val="28"/>
          <w:szCs w:val="28"/>
          <w:lang w:val="en-US" w:eastAsia="zh-CN"/>
        </w:rPr>
      </w:pPr>
      <w:r>
        <w:rPr>
          <w:color w:val="000000"/>
          <w:sz w:val="22"/>
          <w:szCs w:val="22"/>
        </w:rPr>
        <w:t>投标人对项目的实施方案进行承诺，涵盖是否有专业技术人员（两部人员配备分别详细列示，需要有人员证书等，另开标时查看证书原件）、应急响应机制、维修项目、达到标准等各方面，并在投标文件中出具承诺函（承诺函格式自拟，要条理清晰，并加盖公章）</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sz w:val="24"/>
          <w:szCs w:val="24"/>
          <w:lang w:val="en-US" w:eastAsia="zh-CN"/>
        </w:rPr>
      </w:pPr>
      <w:r>
        <w:rPr>
          <w:rFonts w:hint="eastAsia" w:ascii="宋体" w:hAnsi="宋体" w:eastAsia="宋体" w:cs="宋体"/>
          <w:b/>
          <w:bCs/>
          <w:sz w:val="28"/>
          <w:szCs w:val="28"/>
          <w:lang w:val="en-US" w:eastAsia="zh-CN"/>
        </w:rPr>
        <w:t>十、相关业绩证明材料</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十一、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十二、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 xml:space="preserve">十三、参加政府采购前三年内在经营活动中无重大违法记录书面声明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十四、其他证明材料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lang w:val="en-US"/>
      </w:rPr>
    </w:pPr>
    <w:r>
      <w:rPr>
        <w:sz w:val="20"/>
      </w:rPr>
      <mc:AlternateContent>
        <mc:Choice Requires="wps">
          <w:drawing>
            <wp:anchor distT="0" distB="0" distL="114300" distR="114300" simplePos="0" relativeHeight="251634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1831340" cy="139700"/>
                      </a:xfrm>
                      <a:prstGeom prst="rect">
                        <a:avLst/>
                      </a:prstGeom>
                      <a:noFill/>
                      <a:ln cap="flat">
                        <a:noFill/>
                      </a:ln>
                    </wps:spPr>
                    <wps:txbx>
                      <w:txbxContent>
                        <w:p>
                          <w:pPr>
                            <w:pStyle w:val="4"/>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34688;v-text-anchor:middle;mso-width-relative:page;mso-height-relative:page;" filled="f" stroked="f" coordsize="21600,21600"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QN830QAAAAUBAAAPAAAAAAAAAAEAIAAA&#10;ACIAAABkcnMvZG93bnJldi54bWxQSwECFAAUAAAACACHTuJAywTrkBMCAAALBAAADgAAAAAAAAAB&#10;ACAAAAAgAQAAZHJzL2Uyb0RvYy54bWxQSwUGAAAAAAYABgBZAQAApQUAAAAA&#10;">
              <v:fill on="f" focussize="0,0"/>
              <v:stroke on="f"/>
              <v:imagedata o:title=""/>
              <o:lock v:ext="edit" aspectratio="f"/>
              <v:textbox inset="0mm,0mm,0mm,0mm" style="mso-fit-shape-to-text:t;">
                <w:txbxContent>
                  <w:p>
                    <w:pPr>
                      <w:pStyle w:val="4"/>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abstractNum w:abstractNumId="1">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2">
    <w:nsid w:val="240CE15E"/>
    <w:multiLevelType w:val="singleLevel"/>
    <w:tmpl w:val="240CE15E"/>
    <w:lvl w:ilvl="0" w:tentative="0">
      <w:start w:val="6"/>
      <w:numFmt w:val="chineseCounting"/>
      <w:suff w:val="nothing"/>
      <w:lvlText w:val="%1、"/>
      <w:lvlJc w:val="left"/>
      <w:rPr>
        <w:rFonts w:hint="eastAsia"/>
      </w:rPr>
    </w:lvl>
  </w:abstractNum>
  <w:abstractNum w:abstractNumId="3">
    <w:nsid w:val="2F000000"/>
    <w:multiLevelType w:val="multilevel"/>
    <w:tmpl w:val="2F000000"/>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4">
    <w:nsid w:val="5AA96EAC"/>
    <w:multiLevelType w:val="singleLevel"/>
    <w:tmpl w:val="5AA96EAC"/>
    <w:lvl w:ilvl="0" w:tentative="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18B576F"/>
    <w:rsid w:val="027E2104"/>
    <w:rsid w:val="030D75C3"/>
    <w:rsid w:val="036A0F34"/>
    <w:rsid w:val="0485511C"/>
    <w:rsid w:val="04D74F47"/>
    <w:rsid w:val="053333F3"/>
    <w:rsid w:val="069429D0"/>
    <w:rsid w:val="069D5FAD"/>
    <w:rsid w:val="07C64EDC"/>
    <w:rsid w:val="08DB2790"/>
    <w:rsid w:val="0C8920AB"/>
    <w:rsid w:val="0E280BA1"/>
    <w:rsid w:val="0E8F386B"/>
    <w:rsid w:val="10D51590"/>
    <w:rsid w:val="141960BC"/>
    <w:rsid w:val="14511D5D"/>
    <w:rsid w:val="14597EA8"/>
    <w:rsid w:val="1472711D"/>
    <w:rsid w:val="14A30191"/>
    <w:rsid w:val="18121689"/>
    <w:rsid w:val="18803BFB"/>
    <w:rsid w:val="1B031D68"/>
    <w:rsid w:val="225B4788"/>
    <w:rsid w:val="23C451C6"/>
    <w:rsid w:val="26283EB2"/>
    <w:rsid w:val="26E23DC6"/>
    <w:rsid w:val="29111AF1"/>
    <w:rsid w:val="295579BA"/>
    <w:rsid w:val="2C4241C8"/>
    <w:rsid w:val="2F534F90"/>
    <w:rsid w:val="2FE43113"/>
    <w:rsid w:val="31EE4882"/>
    <w:rsid w:val="333F7051"/>
    <w:rsid w:val="33F96FD6"/>
    <w:rsid w:val="34481B5C"/>
    <w:rsid w:val="35332471"/>
    <w:rsid w:val="38BD12DD"/>
    <w:rsid w:val="39EF7A7C"/>
    <w:rsid w:val="3C1A50D7"/>
    <w:rsid w:val="3D362067"/>
    <w:rsid w:val="3E843922"/>
    <w:rsid w:val="3FB454E1"/>
    <w:rsid w:val="40FF7B3F"/>
    <w:rsid w:val="43E1752F"/>
    <w:rsid w:val="47F2274C"/>
    <w:rsid w:val="4803283D"/>
    <w:rsid w:val="4B645A8C"/>
    <w:rsid w:val="4B8219EB"/>
    <w:rsid w:val="4C0130D0"/>
    <w:rsid w:val="4C2B118A"/>
    <w:rsid w:val="4C873D0A"/>
    <w:rsid w:val="4DE61182"/>
    <w:rsid w:val="4E7D75B9"/>
    <w:rsid w:val="4F4C28E7"/>
    <w:rsid w:val="4FD40F9E"/>
    <w:rsid w:val="51827267"/>
    <w:rsid w:val="52F97BD0"/>
    <w:rsid w:val="56B63A7F"/>
    <w:rsid w:val="56D4087D"/>
    <w:rsid w:val="57224BDA"/>
    <w:rsid w:val="5A5D2403"/>
    <w:rsid w:val="5B6E25BC"/>
    <w:rsid w:val="5B7C6170"/>
    <w:rsid w:val="5CBB64D2"/>
    <w:rsid w:val="5CF27DD3"/>
    <w:rsid w:val="5E132A05"/>
    <w:rsid w:val="5F334CEB"/>
    <w:rsid w:val="5FB4161A"/>
    <w:rsid w:val="60541B24"/>
    <w:rsid w:val="64BB1E86"/>
    <w:rsid w:val="66343542"/>
    <w:rsid w:val="667B1E6E"/>
    <w:rsid w:val="66A65A6B"/>
    <w:rsid w:val="683C6BCF"/>
    <w:rsid w:val="69BC0519"/>
    <w:rsid w:val="6A8F035A"/>
    <w:rsid w:val="6BBC6069"/>
    <w:rsid w:val="6D320A99"/>
    <w:rsid w:val="6D3E798B"/>
    <w:rsid w:val="6D901E35"/>
    <w:rsid w:val="6DA01355"/>
    <w:rsid w:val="6F6367E4"/>
    <w:rsid w:val="731E024A"/>
    <w:rsid w:val="758F3DF0"/>
    <w:rsid w:val="75CB3919"/>
    <w:rsid w:val="76437B2F"/>
    <w:rsid w:val="77246C60"/>
    <w:rsid w:val="77D96CDB"/>
    <w:rsid w:val="77E46B25"/>
    <w:rsid w:val="791B65A9"/>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2"/>
    <w:qFormat/>
    <w:uiPriority w:val="28"/>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12"/>
    <w:basedOn w:val="10"/>
    <w:qFormat/>
    <w:uiPriority w:val="0"/>
    <w:rPr>
      <w:rFonts w:hint="eastAsia" w:ascii="宋体" w:hAnsi="宋体" w:eastAsia="宋体" w:cs="宋体"/>
      <w:b/>
      <w:color w:val="000000"/>
      <w:sz w:val="24"/>
      <w:szCs w:val="24"/>
      <w:u w:val="none"/>
    </w:rPr>
  </w:style>
  <w:style w:type="character" w:customStyle="1" w:styleId="12">
    <w:name w:val="font81"/>
    <w:basedOn w:val="10"/>
    <w:qFormat/>
    <w:uiPriority w:val="0"/>
    <w:rPr>
      <w:rFonts w:hint="eastAsia" w:ascii="宋体" w:hAnsi="宋体" w:eastAsia="宋体" w:cs="宋体"/>
      <w:color w:val="000000"/>
      <w:sz w:val="20"/>
      <w:szCs w:val="20"/>
      <w:u w:val="none"/>
    </w:rPr>
  </w:style>
  <w:style w:type="character" w:customStyle="1" w:styleId="13">
    <w:name w:val="font101"/>
    <w:basedOn w:val="10"/>
    <w:qFormat/>
    <w:uiPriority w:val="0"/>
    <w:rPr>
      <w:rFonts w:hint="eastAsia" w:ascii="宋体" w:hAnsi="宋体" w:eastAsia="宋体" w:cs="宋体"/>
      <w:b/>
      <w:color w:val="000000"/>
      <w:sz w:val="24"/>
      <w:szCs w:val="24"/>
      <w:u w:val="none"/>
    </w:rPr>
  </w:style>
  <w:style w:type="character" w:customStyle="1" w:styleId="14">
    <w:name w:val="font14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2020-07-08T08:41:59Z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