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28"/>
          <w:szCs w:val="28"/>
          <w:lang w:val="en-US" w:eastAsia="zh-CN"/>
        </w:rPr>
        <w:t>全自动核酸提取仪</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2020年8月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全自动核酸提取仪</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台</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265000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795000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3台</w:t>
      </w:r>
      <w:r>
        <w:rPr>
          <w:rFonts w:hint="eastAsia" w:ascii="宋体" w:hAnsi="宋体"/>
          <w:sz w:val="24"/>
          <w:szCs w:val="24"/>
          <w:u w:val="single"/>
          <w:lang w:eastAsia="zh-CN"/>
        </w:rPr>
        <w:t>全自动核酸提取仪，用于两部核酸检测，为紧急购置项目</w:t>
      </w:r>
      <w:r>
        <w:rPr>
          <w:rFonts w:hint="eastAsia" w:ascii="宋体" w:hAnsi="宋体"/>
          <w:sz w:val="24"/>
          <w:szCs w:val="24"/>
          <w:u w:val="single"/>
          <w:lang w:val="en-US"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全自动核酸提取仪</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3</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eastAsia="zh-CN"/>
        </w:rPr>
        <w:t>全自动核酸提取仪</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9280" w:type="dxa"/>
        <w:tblInd w:w="-304" w:type="dxa"/>
        <w:tblLayout w:type="fixed"/>
        <w:tblCellMar>
          <w:top w:w="0" w:type="dxa"/>
          <w:left w:w="108" w:type="dxa"/>
          <w:bottom w:w="0" w:type="dxa"/>
          <w:right w:w="108" w:type="dxa"/>
        </w:tblCellMar>
      </w:tblPr>
      <w:tblGrid>
        <w:gridCol w:w="810"/>
        <w:gridCol w:w="720"/>
        <w:gridCol w:w="7750"/>
      </w:tblGrid>
      <w:tr>
        <w:tblPrEx>
          <w:tblCellMar>
            <w:top w:w="0" w:type="dxa"/>
            <w:left w:w="108" w:type="dxa"/>
            <w:bottom w:w="0" w:type="dxa"/>
            <w:right w:w="108" w:type="dxa"/>
          </w:tblCellMar>
        </w:tblPrEx>
        <w:trPr>
          <w:trHeight w:val="212"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12"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lang w:bidi="lo-LA"/>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750" w:type="dxa"/>
            <w:tcBorders>
              <w:top w:val="single" w:color="auto" w:sz="4" w:space="0"/>
              <w:left w:val="nil"/>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可处理多种样本，</w:t>
            </w:r>
            <w:r>
              <w:rPr>
                <w:rFonts w:hint="eastAsia" w:ascii="宋体" w:hAnsi="宋体" w:eastAsia="宋体" w:cs="宋体"/>
                <w:sz w:val="21"/>
                <w:szCs w:val="21"/>
                <w:lang w:eastAsia="zh-CN"/>
              </w:rPr>
              <w:t>包含</w:t>
            </w:r>
            <w:r>
              <w:rPr>
                <w:rFonts w:hint="eastAsia" w:ascii="宋体" w:hAnsi="宋体" w:eastAsia="宋体" w:cs="宋体"/>
                <w:sz w:val="21"/>
                <w:szCs w:val="21"/>
              </w:rPr>
              <w:t>组织、细胞、全血、血清、血浆、</w:t>
            </w:r>
            <w:r>
              <w:rPr>
                <w:rFonts w:hint="eastAsia" w:ascii="宋体" w:hAnsi="宋体" w:eastAsia="宋体" w:cs="宋体"/>
                <w:sz w:val="21"/>
                <w:szCs w:val="21"/>
                <w:lang w:val="en-US" w:eastAsia="zh-CN"/>
              </w:rPr>
              <w:t>生殖道分泌物样本</w:t>
            </w:r>
            <w:r>
              <w:rPr>
                <w:rFonts w:hint="eastAsia" w:ascii="宋体" w:hAnsi="宋体" w:eastAsia="宋体" w:cs="宋体"/>
                <w:sz w:val="21"/>
                <w:szCs w:val="21"/>
              </w:rPr>
              <w:t>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40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75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sz w:val="21"/>
                <w:szCs w:val="21"/>
                <w:lang w:val="en-US" w:eastAsia="zh-CN"/>
              </w:rPr>
              <w:t>样本通量：快速提取96个测试/批≤30min，磁珠法提取96个测试/批≤120min。</w:t>
            </w:r>
          </w:p>
        </w:tc>
      </w:tr>
      <w:tr>
        <w:tblPrEx>
          <w:tblCellMar>
            <w:top w:w="0" w:type="dxa"/>
            <w:left w:w="108" w:type="dxa"/>
            <w:bottom w:w="0" w:type="dxa"/>
            <w:right w:w="108" w:type="dxa"/>
          </w:tblCellMar>
        </w:tblPrEx>
        <w:trPr>
          <w:trHeight w:val="40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75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加样功能：自动液面探测，凝块探测，Tip头检测，气密性检测功能等。</w:t>
            </w:r>
          </w:p>
        </w:tc>
      </w:tr>
      <w:tr>
        <w:tblPrEx>
          <w:tblCellMar>
            <w:top w:w="0" w:type="dxa"/>
            <w:left w:w="108" w:type="dxa"/>
            <w:bottom w:w="0" w:type="dxa"/>
            <w:right w:w="108" w:type="dxa"/>
          </w:tblCellMar>
        </w:tblPrEx>
        <w:trPr>
          <w:trHeight w:val="365"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750"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240" w:lineRule="auto"/>
              <w:rPr>
                <w:rFonts w:hint="eastAsia" w:ascii="宋体" w:hAnsi="宋体" w:eastAsia="宋体" w:cs="宋体"/>
                <w:kern w:val="0"/>
                <w:sz w:val="21"/>
                <w:szCs w:val="21"/>
                <w:lang w:bidi="lo-LA"/>
              </w:rPr>
            </w:pPr>
            <w:r>
              <w:rPr>
                <w:rFonts w:hint="eastAsia" w:ascii="宋体" w:hAnsi="宋体" w:eastAsia="宋体" w:cs="宋体"/>
                <w:color w:val="auto"/>
                <w:sz w:val="21"/>
                <w:szCs w:val="21"/>
                <w:lang w:val="en-US" w:eastAsia="zh-CN"/>
              </w:rPr>
              <w:t>支持磁珠不洗脱，直接上机扩增。</w:t>
            </w:r>
          </w:p>
        </w:tc>
      </w:tr>
      <w:tr>
        <w:trPr>
          <w:trHeight w:val="365"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750"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240" w:lineRule="auto"/>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支持多个项目（如NG、UU、CT、HSV2、MP、HCMV、HPV、手足口等）同时提取。</w:t>
            </w:r>
          </w:p>
        </w:tc>
      </w:tr>
      <w:tr>
        <w:tblPrEx>
          <w:tblCellMar>
            <w:top w:w="0" w:type="dxa"/>
            <w:left w:w="108" w:type="dxa"/>
            <w:bottom w:w="0" w:type="dxa"/>
            <w:right w:w="108" w:type="dxa"/>
          </w:tblCellMar>
        </w:tblPrEx>
        <w:trPr>
          <w:trHeight w:val="365"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eastAsia="zh-CN"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750"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运行实验时显示实验完成所需剩余时间。</w:t>
            </w:r>
          </w:p>
        </w:tc>
      </w:tr>
      <w:tr>
        <w:trPr>
          <w:trHeight w:val="365"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750"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紫外灯：配备紫外灯，可限时开关，最大限度的保证实验安全。</w:t>
            </w:r>
          </w:p>
        </w:tc>
      </w:tr>
      <w:tr>
        <w:trPr>
          <w:trHeight w:val="365" w:hRule="atLeast"/>
        </w:trPr>
        <w:tc>
          <w:tcPr>
            <w:tcW w:w="928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，不满足任意</w:t>
            </w:r>
            <w:r>
              <w:rPr>
                <w:rFonts w:hint="eastAsia" w:ascii="宋体" w:hAnsi="宋体" w:eastAsia="宋体" w:cs="宋体"/>
                <w:b/>
                <w:bCs/>
                <w:color w:val="FF0000"/>
                <w:kern w:val="0"/>
                <w:sz w:val="21"/>
                <w:szCs w:val="21"/>
                <w:lang w:val="en-US" w:eastAsia="zh-CN"/>
              </w:rPr>
              <w:t>1</w:t>
            </w:r>
            <w:r>
              <w:rPr>
                <w:rFonts w:hint="eastAsia" w:ascii="宋体" w:hAnsi="宋体" w:eastAsia="宋体" w:cs="宋体"/>
                <w:b/>
                <w:bCs/>
                <w:color w:val="FF0000"/>
                <w:kern w:val="0"/>
                <w:sz w:val="21"/>
                <w:szCs w:val="21"/>
                <w:lang w:eastAsia="zh-CN"/>
              </w:rPr>
              <w:t>条即取消投标资格</w:t>
            </w:r>
            <w:r>
              <w:rPr>
                <w:rFonts w:hint="eastAsia" w:ascii="宋体" w:hAnsi="宋体" w:eastAsia="宋体" w:cs="宋体"/>
                <w:b/>
                <w:bCs/>
                <w:color w:val="FF0000"/>
                <w:kern w:val="0"/>
                <w:sz w:val="21"/>
                <w:szCs w:val="21"/>
              </w:rPr>
              <w:t>。</w:t>
            </w:r>
          </w:p>
        </w:tc>
      </w:tr>
    </w:tbl>
    <w:p>
      <w:pPr>
        <w:spacing w:line="360" w:lineRule="auto"/>
        <w:ind w:firstLine="480" w:firstLineChars="200"/>
        <w:jc w:val="left"/>
        <w:rPr>
          <w:rFonts w:hint="eastAsia" w:asciiTheme="minorEastAsia" w:hAnsiTheme="minorEastAsia"/>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w:t>
      </w:r>
      <w:r>
        <w:rPr>
          <w:rFonts w:hint="eastAsia" w:ascii="宋体" w:hAnsi="宋体"/>
          <w:sz w:val="24"/>
          <w:szCs w:val="24"/>
          <w:lang w:eastAsia="zh-CN"/>
        </w:rPr>
        <w:t>，且在有效期内</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w:t>
      </w:r>
      <w:r>
        <w:rPr>
          <w:rFonts w:hint="eastAsia" w:ascii="宋体" w:hAnsi="宋体"/>
          <w:color w:val="000000"/>
          <w:sz w:val="24"/>
          <w:szCs w:val="24"/>
          <w:lang w:eastAsia="zh-CN"/>
        </w:rPr>
        <w:t>，且在有效期内</w:t>
      </w:r>
      <w:r>
        <w:rPr>
          <w:rFonts w:hint="eastAsia" w:ascii="宋体" w:hAnsi="宋体"/>
          <w:color w:val="000000"/>
          <w:sz w:val="24"/>
          <w:szCs w:val="24"/>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四、评标方法及评标细则要求</w:t>
      </w:r>
    </w:p>
    <w:p>
      <w:pPr>
        <w:spacing w:line="360" w:lineRule="auto"/>
        <w:ind w:firstLine="482"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b/>
          <w:bCs/>
          <w:color w:val="FF0000"/>
          <w:sz w:val="24"/>
          <w:szCs w:val="24"/>
          <w:lang w:eastAsia="zh-CN"/>
        </w:rPr>
        <w:t>采用综合评分法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w w:val="100"/>
                <w:sz w:val="21"/>
                <w:lang w:eastAsia="zh-CN"/>
              </w:rPr>
            </w:pPr>
            <w:r>
              <w:rPr>
                <w:rFonts w:hint="eastAsia" w:ascii="宋体" w:hAnsi="Calibri" w:eastAsia="宋体"/>
                <w:b w:val="0"/>
                <w:w w:val="100"/>
                <w:sz w:val="21"/>
                <w:lang w:val="en-US" w:eastAsia="zh-CN"/>
              </w:rPr>
              <w:t>售后</w:t>
            </w:r>
            <w:r>
              <w:rPr>
                <w:rFonts w:ascii="宋体" w:hAnsi="Calibri" w:eastAsia="宋体"/>
                <w:b w:val="0"/>
                <w:w w:val="100"/>
                <w:sz w:val="21"/>
              </w:rPr>
              <w:t>服务</w:t>
            </w:r>
            <w:r>
              <w:rPr>
                <w:rFonts w:hint="eastAsia" w:ascii="宋体" w:hAnsi="Calibri" w:eastAsia="宋体"/>
                <w:b w:val="0"/>
                <w:w w:val="100"/>
                <w:sz w:val="21"/>
                <w:lang w:val="en-US" w:eastAsia="zh-CN"/>
              </w:rPr>
              <w:t>方案</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w:t>
            </w:r>
            <w:r>
              <w:rPr>
                <w:rFonts w:hint="eastAsia" w:ascii="宋体" w:hAnsi="Calibri" w:eastAsia="宋体"/>
                <w:b w:val="0"/>
                <w:w w:val="100"/>
                <w:sz w:val="21"/>
                <w:lang w:val="en-US" w:eastAsia="zh-CN"/>
              </w:rPr>
              <w:t>5</w:t>
            </w:r>
            <w:r>
              <w:rPr>
                <w:rFonts w:ascii="宋体" w:hAnsi="Calibri"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质保期（4分）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分（不足一年的不加分）,满分4分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spacing w:line="360" w:lineRule="auto"/>
        <w:rPr>
          <w:rFonts w:hint="eastAsia" w:asciiTheme="minorEastAsia" w:hAnsiTheme="minorEastAsia"/>
          <w:sz w:val="28"/>
          <w:szCs w:val="28"/>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8</w:t>
      </w:r>
      <w:r>
        <w:rPr>
          <w:rFonts w:hint="eastAsia" w:asciiTheme="minorEastAsia" w:hAnsiTheme="minorEastAsia"/>
          <w:sz w:val="28"/>
          <w:szCs w:val="28"/>
        </w:rPr>
        <w:t>月</w:t>
      </w:r>
      <w:r>
        <w:rPr>
          <w:rFonts w:hint="eastAsia" w:asciiTheme="minorEastAsia" w:hAnsiTheme="minorEastAsia"/>
          <w:sz w:val="28"/>
          <w:szCs w:val="28"/>
          <w:lang w:val="en-US" w:eastAsia="zh-CN"/>
        </w:rPr>
        <w:t>24</w:t>
      </w:r>
      <w:bookmarkStart w:id="1" w:name="_GoBack"/>
      <w:bookmarkEnd w:id="1"/>
      <w:r>
        <w:rPr>
          <w:rFonts w:hint="eastAsia" w:asciiTheme="minorEastAsia" w:hAnsiTheme="minorEastAsia"/>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十六、产品彩页</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D3927B3"/>
    <w:rsid w:val="0E280BA1"/>
    <w:rsid w:val="10D51590"/>
    <w:rsid w:val="111B7AAD"/>
    <w:rsid w:val="141960BC"/>
    <w:rsid w:val="14511D5D"/>
    <w:rsid w:val="14A30191"/>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81F3360"/>
    <w:rsid w:val="388506F3"/>
    <w:rsid w:val="39EF7A7C"/>
    <w:rsid w:val="3E843922"/>
    <w:rsid w:val="3FB454E1"/>
    <w:rsid w:val="41243E57"/>
    <w:rsid w:val="43A623BD"/>
    <w:rsid w:val="43E1752F"/>
    <w:rsid w:val="4803283D"/>
    <w:rsid w:val="4A8B00CA"/>
    <w:rsid w:val="4B645A8C"/>
    <w:rsid w:val="4B8219EB"/>
    <w:rsid w:val="4C0130D0"/>
    <w:rsid w:val="4C2B118A"/>
    <w:rsid w:val="4C873D0A"/>
    <w:rsid w:val="4DE61182"/>
    <w:rsid w:val="4F4C28E7"/>
    <w:rsid w:val="4F7B43DD"/>
    <w:rsid w:val="51827267"/>
    <w:rsid w:val="52F97BD0"/>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5CB3919"/>
    <w:rsid w:val="76437B2F"/>
    <w:rsid w:val="76481548"/>
    <w:rsid w:val="77246C60"/>
    <w:rsid w:val="77E46B25"/>
    <w:rsid w:val="791B65A9"/>
    <w:rsid w:val="793378F7"/>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2020-08-24T06:47:48Z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