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ascii="宋体" w:hAnsi="宋体" w:eastAsia="宋体" w:cs="宋体"/>
          <w:b/>
          <w:bCs/>
          <w:i w:val="0"/>
          <w:caps w:val="0"/>
          <w:color w:val="333333"/>
          <w:spacing w:val="0"/>
          <w:sz w:val="32"/>
          <w:szCs w:val="32"/>
          <w:lang w:val="en-US" w:eastAsia="zh-CN"/>
        </w:rPr>
        <w:t>核磁设备增加主</w:t>
      </w:r>
      <w:r>
        <w:rPr>
          <w:rFonts w:hint="eastAsia"/>
          <w:b/>
          <w:bCs/>
          <w:sz w:val="28"/>
          <w:szCs w:val="28"/>
          <w:lang w:val="en-US" w:eastAsia="zh-CN"/>
        </w:rPr>
        <w:t>电缆项目</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2020年9月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786"/>
        <w:gridCol w:w="1436"/>
        <w:gridCol w:w="969"/>
        <w:gridCol w:w="1188"/>
        <w:gridCol w:w="172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3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143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规格</w:t>
            </w:r>
          </w:p>
        </w:tc>
        <w:tc>
          <w:tcPr>
            <w:tcW w:w="969"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118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72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both"/>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256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3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核磁设备增加主电缆项目</w:t>
            </w:r>
          </w:p>
        </w:tc>
        <w:tc>
          <w:tcPr>
            <w:tcW w:w="143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4*150+1</w:t>
            </w:r>
          </w:p>
        </w:tc>
        <w:tc>
          <w:tcPr>
            <w:tcW w:w="969"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米</w:t>
            </w:r>
          </w:p>
        </w:tc>
        <w:tc>
          <w:tcPr>
            <w:tcW w:w="118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240</w:t>
            </w:r>
          </w:p>
        </w:tc>
        <w:tc>
          <w:tcPr>
            <w:tcW w:w="172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460</w:t>
            </w:r>
          </w:p>
        </w:tc>
        <w:tc>
          <w:tcPr>
            <w:tcW w:w="256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3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7883" w:type="dxa"/>
            <w:gridSpan w:val="5"/>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3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7883" w:type="dxa"/>
            <w:gridSpan w:val="5"/>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验收合格后支付90%，剩余10%一年质保期满无质量问题一次性付清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3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7883" w:type="dxa"/>
            <w:gridSpan w:val="5"/>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3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7883" w:type="dxa"/>
            <w:gridSpan w:val="5"/>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center"/>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lang w:val="en-US" w:eastAsia="zh-CN"/>
        </w:rPr>
        <w:t>技术参数</w:t>
      </w:r>
      <w:bookmarkStart w:id="1" w:name="_GoBack"/>
      <w:bookmarkEnd w:id="1"/>
      <w:r>
        <w:rPr>
          <w:rFonts w:hint="eastAsia" w:hAnsi="宋体"/>
          <w:b/>
          <w:bCs/>
          <w:sz w:val="24"/>
          <w:szCs w:val="24"/>
        </w:rPr>
        <w:t>与要求：</w:t>
      </w:r>
    </w:p>
    <w:tbl>
      <w:tblPr>
        <w:tblStyle w:val="8"/>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71"/>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8490" w:type="dxa"/>
          </w:tcPr>
          <w:p>
            <w:pPr>
              <w:numPr>
                <w:numId w:val="0"/>
              </w:numPr>
              <w:spacing w:line="360" w:lineRule="auto"/>
              <w:jc w:val="center"/>
              <w:rPr>
                <w:rFonts w:hint="eastAsia" w:ascii="宋体" w:hAnsi="宋体" w:eastAsia="宋体" w:cs="宋体"/>
                <w:b/>
                <w:bCs/>
                <w:sz w:val="24"/>
                <w:szCs w:val="24"/>
                <w:vertAlign w:val="baseline"/>
              </w:rPr>
            </w:pPr>
            <w:r>
              <w:rPr>
                <w:rFonts w:hint="eastAsia" w:ascii="宋体" w:hAnsi="宋体" w:eastAsia="宋体" w:cs="宋体"/>
                <w:color w:val="000000"/>
                <w:sz w:val="24"/>
                <w:szCs w:val="24"/>
                <w:lang w:val="en-US" w:eastAsia="zh-CN"/>
              </w:rPr>
              <w:t>技术参数和性能指标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sz w:val="24"/>
                <w:szCs w:val="24"/>
                <w:lang w:eastAsia="zh-CN"/>
              </w:rPr>
              <w:t>电缆</w:t>
            </w:r>
            <w:r>
              <w:rPr>
                <w:rFonts w:hint="eastAsia" w:ascii="宋体" w:hAnsi="宋体" w:eastAsia="宋体" w:cs="宋体"/>
                <w:sz w:val="24"/>
                <w:szCs w:val="24"/>
              </w:rPr>
              <w:t>名称：</w:t>
            </w:r>
            <w:r>
              <w:rPr>
                <w:rFonts w:hint="eastAsia" w:ascii="宋体" w:hAnsi="宋体" w:eastAsia="宋体" w:cs="宋体"/>
                <w:bCs/>
                <w:color w:val="3C3C3C"/>
                <w:sz w:val="24"/>
                <w:szCs w:val="24"/>
              </w:rPr>
              <w:t xml:space="preserve">YJV国标电缆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bCs/>
                <w:color w:val="3C3C3C"/>
                <w:sz w:val="24"/>
                <w:szCs w:val="24"/>
              </w:rPr>
              <w:t>材质：纯铜芯</w:t>
            </w:r>
            <w:r>
              <w:rPr>
                <w:rFonts w:hint="eastAsia" w:ascii="宋体" w:hAnsi="宋体" w:eastAsia="宋体" w:cs="宋体"/>
                <w:color w:val="333333"/>
                <w:sz w:val="24"/>
                <w:szCs w:val="24"/>
                <w:shd w:val="clear" w:color="auto" w:fill="FFFFFF"/>
              </w:rPr>
              <w:t xml:space="preserve">交联聚乙烯绝缘聚氯乙烯护套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8490" w:type="dxa"/>
          </w:tcPr>
          <w:p>
            <w:pPr>
              <w:rPr>
                <w:rFonts w:hint="eastAsia" w:ascii="宋体" w:hAnsi="宋体" w:eastAsia="宋体" w:cs="宋体"/>
                <w:b/>
                <w:bCs/>
                <w:sz w:val="24"/>
                <w:szCs w:val="24"/>
                <w:vertAlign w:val="baseline"/>
                <w:lang w:eastAsia="zh-CN"/>
              </w:rPr>
            </w:pPr>
            <w:r>
              <w:rPr>
                <w:rFonts w:hint="eastAsia" w:ascii="宋体" w:hAnsi="宋体" w:eastAsia="宋体" w:cs="宋体"/>
                <w:color w:val="333333"/>
                <w:sz w:val="24"/>
                <w:szCs w:val="24"/>
                <w:shd w:val="clear" w:color="auto" w:fill="FFFFFF"/>
              </w:rPr>
              <w:t>型号：</w:t>
            </w:r>
            <w:r>
              <w:rPr>
                <w:rFonts w:hint="eastAsia" w:ascii="宋体" w:hAnsi="宋体" w:eastAsia="宋体" w:cs="宋体"/>
                <w:bCs/>
                <w:color w:val="3C3C3C"/>
                <w:sz w:val="24"/>
                <w:szCs w:val="24"/>
              </w:rPr>
              <w:t xml:space="preserve">  4*150mm+1</w:t>
            </w:r>
            <w:r>
              <w:rPr>
                <w:rFonts w:hint="eastAsia" w:ascii="宋体" w:hAnsi="宋体" w:eastAsia="宋体" w:cs="宋体"/>
                <w:bCs/>
                <w:color w:val="3C3C3C"/>
                <w:sz w:val="24"/>
                <w:szCs w:val="24"/>
                <w:lang w:eastAsia="zh-CN"/>
              </w:rPr>
              <w:t>；</w:t>
            </w:r>
            <w:r>
              <w:rPr>
                <w:rFonts w:hint="eastAsia" w:ascii="宋体" w:hAnsi="宋体" w:eastAsia="宋体" w:cs="宋体"/>
                <w:bCs/>
                <w:color w:val="3C3C3C"/>
                <w:sz w:val="24"/>
                <w:szCs w:val="24"/>
                <w:lang w:val="en-US" w:eastAsia="zh-CN"/>
              </w:rPr>
              <w:t>数量： 240米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sz w:val="24"/>
                <w:szCs w:val="24"/>
              </w:rPr>
              <w:t xml:space="preserve">使用条件： 额定电压：0.6/1kv、 额定频率：50hz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sz w:val="24"/>
                <w:szCs w:val="24"/>
              </w:rPr>
              <w:t>敷设条件：桥架、竖井、穿管等各种敷设方式。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sz w:val="24"/>
                <w:szCs w:val="24"/>
              </w:rPr>
              <w:t xml:space="preserve">导体长期工作温度：90℃。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sz w:val="24"/>
                <w:szCs w:val="24"/>
              </w:rPr>
              <w:t xml:space="preserve">导体短路温度：短路温度不超过 280℃，短路最长延续时间为 5 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sz w:val="24"/>
                <w:szCs w:val="24"/>
              </w:rPr>
              <w:t>电线、电缆使用寿命：不少于 40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8490" w:type="dxa"/>
            <w:vAlign w:val="top"/>
          </w:tcPr>
          <w:p>
            <w:pPr>
              <w:numPr>
                <w:ilvl w:val="0"/>
                <w:numId w:val="0"/>
              </w:numPr>
              <w:spacing w:line="360" w:lineRule="auto"/>
              <w:ind w:left="0" w:leftChars="0" w:firstLine="0" w:firstLineChars="0"/>
              <w:jc w:val="both"/>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lang w:val="en-US" w:eastAsia="zh-CN"/>
              </w:rPr>
              <w:t>供应商负责供应电缆以及新电缆的铺设。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8490" w:type="dxa"/>
            <w:vAlign w:val="top"/>
          </w:tcPr>
          <w:p>
            <w:pPr>
              <w:numPr>
                <w:ilvl w:val="0"/>
                <w:numId w:val="0"/>
              </w:numPr>
              <w:ind w:left="0" w:leftChars="0" w:firstLine="0" w:firstLineChars="0"/>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lang w:val="en-US" w:eastAsia="zh-CN"/>
              </w:rPr>
              <w:t>旧有2根4*185+1电缆配电室内倒接配电柜，一根电缆回抽7米左右重新压接线鼻子，另1根电缆重新接配电抽屉。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8490" w:type="dxa"/>
            <w:vAlign w:val="top"/>
          </w:tcPr>
          <w:p>
            <w:pPr>
              <w:numPr>
                <w:ilvl w:val="0"/>
                <w:numId w:val="0"/>
              </w:numPr>
              <w:spacing w:line="360" w:lineRule="auto"/>
              <w:ind w:left="0" w:leftChars="0" w:firstLine="0" w:firstLineChars="0"/>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lang w:val="en-US" w:eastAsia="zh-CN"/>
              </w:rPr>
              <w:t>以上新接电缆所用线鼻子、绝缘套管等辅助材料。材料需是国标优质产品。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8490" w:type="dxa"/>
            <w:vAlign w:val="top"/>
          </w:tcPr>
          <w:p>
            <w:pPr>
              <w:numPr>
                <w:ilvl w:val="0"/>
                <w:numId w:val="0"/>
              </w:numPr>
              <w:ind w:left="0" w:leftChars="0" w:firstLine="0" w:firstLineChars="0"/>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lang w:val="en-US" w:eastAsia="zh-CN"/>
              </w:rPr>
              <w:t>电缆的铺设施工，如有必要，需做桥架，桥架由甲方提供，乙方负责施工。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w:t>
            </w:r>
          </w:p>
        </w:tc>
        <w:tc>
          <w:tcPr>
            <w:tcW w:w="8490" w:type="dxa"/>
            <w:vAlign w:val="top"/>
          </w:tcPr>
          <w:p>
            <w:pPr>
              <w:numPr>
                <w:ilvl w:val="0"/>
                <w:numId w:val="0"/>
              </w:numPr>
              <w:ind w:left="0" w:leftChars="0" w:firstLine="0" w:firstLineChars="0"/>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lang w:val="en-US" w:eastAsia="zh-CN"/>
              </w:rPr>
              <w:t>施工完成后施工现场的清洁，施工破坏墙面及吊顶等的恢复。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numPr>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w:t>
            </w:r>
          </w:p>
        </w:tc>
        <w:tc>
          <w:tcPr>
            <w:tcW w:w="8490" w:type="dxa"/>
          </w:tcPr>
          <w:p>
            <w:pPr>
              <w:rPr>
                <w:rFonts w:hint="eastAsia" w:ascii="宋体" w:hAnsi="宋体" w:eastAsia="宋体" w:cs="宋体"/>
                <w:b/>
                <w:bCs/>
                <w:sz w:val="24"/>
                <w:szCs w:val="24"/>
                <w:vertAlign w:val="baseline"/>
              </w:rPr>
            </w:pPr>
            <w:r>
              <w:rPr>
                <w:rFonts w:hint="eastAsia" w:ascii="宋体" w:hAnsi="宋体" w:eastAsia="宋体" w:cs="宋体"/>
                <w:sz w:val="24"/>
                <w:szCs w:val="24"/>
              </w:rPr>
              <w:t>要求符合国家标准电缆，电缆甲方将送送质量技术监督局或者工程质量监督站进行质量检测，费用供货方承担。要求符合国家标准，若不符合国家标准甲方将拒收电缆，并追纠乙方延误工期责任。</w:t>
            </w:r>
          </w:p>
        </w:tc>
      </w:tr>
    </w:tbl>
    <w:p>
      <w:pPr>
        <w:numPr>
          <w:numId w:val="0"/>
        </w:numPr>
        <w:spacing w:line="360" w:lineRule="auto"/>
        <w:jc w:val="left"/>
        <w:rPr>
          <w:rFonts w:hint="eastAsia" w:hAnsi="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3.投标保证金</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投标保证金2000元。</w:t>
      </w:r>
      <w:r>
        <w:rPr>
          <w:rFonts w:hint="eastAsia" w:ascii="宋体" w:hAnsi="宋体" w:cs="宋体"/>
          <w:b w:val="0"/>
          <w:bCs w:val="0"/>
          <w:i w:val="0"/>
          <w:caps w:val="0"/>
          <w:color w:val="333333"/>
          <w:spacing w:val="0"/>
          <w:sz w:val="24"/>
          <w:szCs w:val="24"/>
          <w:lang w:val="en-US" w:eastAsia="zh-CN"/>
        </w:rPr>
        <w:t>未中标的厂家在开标结束后退还；中标厂家待产品验收合格后退还，保证金的退还需经总务科及财务科负责人签字后办理。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sz w:val="30"/>
          <w:szCs w:val="30"/>
        </w:rPr>
      </w:pPr>
      <w:r>
        <w:rPr>
          <w:rFonts w:hint="eastAsia" w:ascii="宋体" w:hAnsi="宋体" w:eastAsia="宋体" w:cs="宋体"/>
          <w:b/>
          <w:bCs/>
          <w:sz w:val="24"/>
          <w:szCs w:val="24"/>
          <w:lang w:val="en-US" w:eastAsia="zh-CN"/>
        </w:rPr>
        <w:t>投标失信行为黑名单制度</w:t>
      </w:r>
      <w:r>
        <w:rPr>
          <w:sz w:val="30"/>
          <w:szCs w:val="30"/>
        </w:rPr>
        <w:t xml:space="preserve">    </w:t>
      </w:r>
    </w:p>
    <w:p>
      <w:pPr>
        <w:keepNext w:val="0"/>
        <w:keepLines w:val="0"/>
        <w:pageBreakBefore w:val="0"/>
        <w:widowControl w:val="0"/>
        <w:kinsoku/>
        <w:wordWrap/>
        <w:overflowPunct/>
        <w:topLinePunct w:val="0"/>
        <w:bidi w:val="0"/>
        <w:adjustRightInd/>
        <w:snapToGrid/>
        <w:spacing w:line="360" w:lineRule="auto"/>
        <w:ind w:firstLine="601"/>
        <w:textAlignment w:val="auto"/>
        <w:rPr>
          <w:sz w:val="24"/>
          <w:szCs w:val="24"/>
        </w:rPr>
      </w:pPr>
      <w:r>
        <w:rPr>
          <w:sz w:val="24"/>
          <w:szCs w:val="24"/>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一、投标供应商有如下行为的之一的，纳入黑名单目录。</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黑名单记录内容：投标厂家名称、法人名称、报名联系人、开标联系人、联系电话等。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（一）提供、采用虚假报名材料进行投标报名；</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（二）报名成功后无故不参加开标或开标迟到；</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（三）在投标过程中存在陪标、串标、扰乱秩序等不良行为；</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color w:val="FF0000"/>
          <w:sz w:val="24"/>
          <w:szCs w:val="24"/>
        </w:rPr>
      </w:pPr>
      <w:r>
        <w:rPr>
          <w:color w:val="FF0000"/>
          <w:sz w:val="24"/>
          <w:szCs w:val="24"/>
        </w:rPr>
        <w:t>（四）开标后经采购小组审查招标文件，有虚假应标行为的。</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（五）中标后10个工作日内无正当理由未签订采购合同或拒绝签订采购合同；</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（六）中标后不履行招标公告要求，例如不按时完工或交货、不履行质保条款、将项目私自转包等；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（七）所供货物低于参数要求、工程项目未按要求施工，未能通过验收，存在欺诈行为等；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（八）无故弃标，无故弃标的厂家不予退还投标保证金（对在规定时间内不供货、不弃标的厂家在合同条款中要设置院方强制解除合同条款）。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（九）经我院认定的其他投标不良行为。</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二、处罚措施</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1.违反第1项、第2项、第3项、第4项条款的，自确定之日起，一年内不允许再次参加医院的招标采购活动。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2.违反第5项、第6项、第7项条款的，自确定之日起，三年内不允许再次参加医院的招标采购活动。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3.违反第8项及其他行为造成不良影响的，自确定之日起，永久不允许参加医院的招标采购活动。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以上条款需要管理科室及使用科室共同加强监管，发现问题由管理科室及时报送招标办备案。</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rFonts w:hint="eastAsia"/>
          <w:color w:val="000000"/>
        </w:rPr>
      </w:pPr>
      <w:r>
        <w:rPr>
          <w:sz w:val="24"/>
          <w:szCs w:val="24"/>
        </w:rPr>
        <w:t>三、本制度自下发之日起实施。</w:t>
      </w:r>
      <w:bookmarkStart w:id="0" w:name="_Toc422403383"/>
    </w:p>
    <w:p>
      <w:pPr>
        <w:pStyle w:val="3"/>
        <w:jc w:val="center"/>
        <w:rPr>
          <w:rFonts w:hint="default" w:eastAsiaTheme="majorEastAsia"/>
          <w:color w:val="000000"/>
          <w:lang w:val="en-US" w:eastAsia="zh-CN"/>
        </w:rPr>
      </w:pPr>
      <w:r>
        <w:rPr>
          <w:rFonts w:hint="eastAsia"/>
          <w:color w:val="000000"/>
          <w:lang w:val="en-US" w:eastAsia="zh-CN"/>
        </w:rPr>
        <w:t>第三章 投标文件格式</w:t>
      </w:r>
    </w:p>
    <w:p>
      <w:pPr>
        <w:pStyle w:val="3"/>
        <w:rPr>
          <w:rFonts w:hint="eastAsia" w:eastAsiaTheme="majorEastAsia"/>
          <w:color w:val="000000"/>
          <w:lang w:eastAsia="zh-CN"/>
        </w:rPr>
      </w:pPr>
      <w:r>
        <w:rPr>
          <w:rFonts w:hint="eastAsia"/>
          <w:color w:val="000000"/>
          <w:lang w:eastAsia="zh-CN"/>
        </w:rPr>
        <w:t>（</w:t>
      </w:r>
      <w:r>
        <w:rPr>
          <w:rFonts w:hint="eastAsia"/>
          <w:color w:val="000000"/>
          <w:lang w:val="en-US" w:eastAsia="zh-CN"/>
        </w:rPr>
        <w:t>见下页</w:t>
      </w:r>
      <w:r>
        <w:rPr>
          <w:rFonts w:hint="eastAsia"/>
          <w:color w:val="000000"/>
          <w:lang w:eastAsia="zh-CN"/>
        </w:rPr>
        <w:t>）</w:t>
      </w:r>
    </w:p>
    <w:p>
      <w:pPr>
        <w:rPr>
          <w:rFonts w:hint="eastAsia"/>
          <w:color w:val="000000"/>
        </w:rPr>
      </w:pPr>
    </w:p>
    <w:p>
      <w:pPr>
        <w:pStyle w:val="3"/>
        <w:rPr>
          <w:rFonts w:hint="eastAsia"/>
          <w:color w:val="000000"/>
        </w:rPr>
      </w:pPr>
    </w:p>
    <w:p>
      <w:pPr>
        <w:rPr>
          <w:rFonts w:hint="eastAsia"/>
          <w:color w:val="000000"/>
        </w:rPr>
      </w:pPr>
    </w:p>
    <w:p>
      <w:pPr>
        <w:rPr>
          <w:rFonts w:hint="eastAsia"/>
          <w:color w:val="000000"/>
        </w:rPr>
      </w:pPr>
    </w:p>
    <w:p>
      <w:pPr>
        <w:pStyle w:val="3"/>
        <w:rPr>
          <w:rFonts w:hint="eastAsia"/>
          <w:color w:val="000000"/>
        </w:rPr>
      </w:pPr>
    </w:p>
    <w:p>
      <w:pPr>
        <w:pStyle w:val="3"/>
        <w:rPr>
          <w:rFonts w:hint="eastAsia"/>
          <w:color w:val="000000"/>
        </w:rPr>
      </w:pPr>
    </w:p>
    <w:p>
      <w:pPr>
        <w:pStyle w:val="3"/>
        <w:rPr>
          <w:rFonts w:hint="eastAsia"/>
          <w:color w:val="000000"/>
        </w:rPr>
      </w:pPr>
    </w:p>
    <w:p>
      <w:pPr>
        <w:pStyle w:val="3"/>
        <w:rPr>
          <w:rFonts w:hint="eastAsia"/>
          <w:color w:val="000000"/>
        </w:rPr>
      </w:pPr>
    </w:p>
    <w:p>
      <w:pPr>
        <w:pStyle w:val="3"/>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三、详细报价单</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六、主要商务要求承诺书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七、技术偏离表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2"/>
          <w:szCs w:val="32"/>
          <w:lang w:val="en-US" w:eastAsia="zh-CN"/>
        </w:rPr>
      </w:pPr>
      <w:r>
        <w:rPr>
          <w:rFonts w:hint="eastAsia" w:ascii="宋体" w:hAnsi="宋体" w:eastAsia="宋体" w:cs="宋体"/>
          <w:b/>
          <w:bCs/>
          <w:i w:val="0"/>
          <w:caps w:val="0"/>
          <w:color w:val="auto"/>
          <w:spacing w:val="0"/>
          <w:sz w:val="32"/>
          <w:szCs w:val="32"/>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开标一览表</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r>
        <w:rPr>
          <w:rFonts w:ascii="宋体" w:hAnsi="宋体" w:eastAsia="宋体"/>
          <w:sz w:val="24"/>
          <w:szCs w:val="24"/>
          <w:lang w:val="zh-CN"/>
        </w:rPr>
        <w:br w:type="page"/>
      </w:r>
    </w:p>
    <w:p>
      <w:pPr>
        <w:numPr>
          <w:ilvl w:val="0"/>
          <w:numId w:val="4"/>
        </w:numPr>
        <w:spacing w:line="360" w:lineRule="auto"/>
        <w:ind w:left="0" w:leftChars="0" w:firstLine="0" w:firstLineChars="0"/>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报价单（第一次报价）</w:t>
      </w:r>
    </w:p>
    <w:tbl>
      <w:tblPr>
        <w:tblStyle w:val="8"/>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436"/>
        <w:gridCol w:w="969"/>
        <w:gridCol w:w="1188"/>
        <w:gridCol w:w="1411"/>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项目名称</w:t>
            </w:r>
          </w:p>
        </w:tc>
        <w:tc>
          <w:tcPr>
            <w:tcW w:w="143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规格</w:t>
            </w:r>
          </w:p>
        </w:tc>
        <w:tc>
          <w:tcPr>
            <w:tcW w:w="969"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118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411"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both"/>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单项报价（元）</w:t>
            </w:r>
          </w:p>
        </w:tc>
        <w:tc>
          <w:tcPr>
            <w:tcW w:w="216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 xml:space="preserve"> 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8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核磁设备增加主电缆项目</w:t>
            </w:r>
          </w:p>
        </w:tc>
        <w:tc>
          <w:tcPr>
            <w:tcW w:w="1436"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4*150+1</w:t>
            </w:r>
          </w:p>
        </w:tc>
        <w:tc>
          <w:tcPr>
            <w:tcW w:w="969"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米</w:t>
            </w:r>
          </w:p>
        </w:tc>
        <w:tc>
          <w:tcPr>
            <w:tcW w:w="118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 xml:space="preserve"> 240</w:t>
            </w:r>
          </w:p>
        </w:tc>
        <w:tc>
          <w:tcPr>
            <w:tcW w:w="1411"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p>
        </w:tc>
        <w:tc>
          <w:tcPr>
            <w:tcW w:w="216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p>
        </w:tc>
      </w:tr>
    </w:tbl>
    <w:p>
      <w:pPr>
        <w:numPr>
          <w:ilvl w:val="0"/>
          <w:numId w:val="0"/>
        </w:numPr>
        <w:spacing w:line="360" w:lineRule="auto"/>
        <w:ind w:leftChars="0"/>
        <w:rPr>
          <w:rFonts w:hint="default"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投标人（名称及加盖公章）：</w:t>
      </w: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时  间：</w:t>
      </w: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cs="宋体"/>
          <w:sz w:val="32"/>
          <w:szCs w:val="32"/>
          <w:lang w:val="en-US" w:eastAsia="zh-CN"/>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numPr>
          <w:ilvl w:val="0"/>
          <w:numId w:val="0"/>
        </w:numPr>
        <w:tabs>
          <w:tab w:val="left" w:pos="1326"/>
        </w:tabs>
        <w:bidi w:val="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（营业执照及法人复印件）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 xml:space="preserve">六、主要商务要求承诺书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采购资金支付、投标保证金等）。若有不符合或未按承诺履行的，后果和责任自负。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5"/>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技术偏离表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5"/>
        </w:numPr>
        <w:tabs>
          <w:tab w:val="left" w:pos="606"/>
        </w:tabs>
        <w:kinsoku/>
        <w:wordWrap/>
        <w:overflowPunct/>
        <w:topLinePunct w:val="0"/>
        <w:autoSpaceDE/>
        <w:autoSpaceDN/>
        <w:bidi w:val="0"/>
        <w:adjustRightInd/>
        <w:snapToGrid/>
        <w:spacing w:line="360" w:lineRule="auto"/>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（此页下方无内容）</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097C2BDA"/>
    <w:multiLevelType w:val="singleLevel"/>
    <w:tmpl w:val="097C2BDA"/>
    <w:lvl w:ilvl="0" w:tentative="0">
      <w:start w:val="4"/>
      <w:numFmt w:val="decimal"/>
      <w:lvlText w:val="%1."/>
      <w:lvlJc w:val="left"/>
      <w:pPr>
        <w:tabs>
          <w:tab w:val="left" w:pos="312"/>
        </w:tabs>
      </w:pPr>
    </w:lvl>
  </w:abstractNum>
  <w:abstractNum w:abstractNumId="2">
    <w:nsid w:val="12E98D3D"/>
    <w:multiLevelType w:val="singleLevel"/>
    <w:tmpl w:val="12E98D3D"/>
    <w:lvl w:ilvl="0" w:tentative="0">
      <w:start w:val="7"/>
      <w:numFmt w:val="chineseCounting"/>
      <w:suff w:val="nothing"/>
      <w:lvlText w:val="%1、"/>
      <w:lvlJc w:val="left"/>
      <w:rPr>
        <w:rFonts w:hint="eastAsia"/>
      </w:rPr>
    </w:lvl>
  </w:abstractNum>
  <w:abstractNum w:abstractNumId="3">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257D30"/>
    <w:rsid w:val="036A0F34"/>
    <w:rsid w:val="069429D0"/>
    <w:rsid w:val="069D5FAD"/>
    <w:rsid w:val="073443A1"/>
    <w:rsid w:val="08DB2790"/>
    <w:rsid w:val="0ABD2037"/>
    <w:rsid w:val="0B694348"/>
    <w:rsid w:val="0E280BA1"/>
    <w:rsid w:val="0EF70004"/>
    <w:rsid w:val="0F51179D"/>
    <w:rsid w:val="10D51590"/>
    <w:rsid w:val="141960BC"/>
    <w:rsid w:val="14511D5D"/>
    <w:rsid w:val="14A30191"/>
    <w:rsid w:val="1B031D68"/>
    <w:rsid w:val="1D6821D6"/>
    <w:rsid w:val="20A26CCD"/>
    <w:rsid w:val="225B4788"/>
    <w:rsid w:val="23C451C6"/>
    <w:rsid w:val="26283EB2"/>
    <w:rsid w:val="26704F5C"/>
    <w:rsid w:val="26E23DC6"/>
    <w:rsid w:val="28C84943"/>
    <w:rsid w:val="29111AF1"/>
    <w:rsid w:val="295579BA"/>
    <w:rsid w:val="2C4241C8"/>
    <w:rsid w:val="2F534F90"/>
    <w:rsid w:val="2FE43113"/>
    <w:rsid w:val="31EE4882"/>
    <w:rsid w:val="333F7051"/>
    <w:rsid w:val="33F96FD6"/>
    <w:rsid w:val="36234DBD"/>
    <w:rsid w:val="39EF7A7C"/>
    <w:rsid w:val="3E843922"/>
    <w:rsid w:val="3FB454E1"/>
    <w:rsid w:val="3FDF22A2"/>
    <w:rsid w:val="43E1752F"/>
    <w:rsid w:val="4803283D"/>
    <w:rsid w:val="4ADF0ABA"/>
    <w:rsid w:val="4B645A8C"/>
    <w:rsid w:val="4B8219EB"/>
    <w:rsid w:val="4C0130D0"/>
    <w:rsid w:val="4C2B118A"/>
    <w:rsid w:val="4E1767A4"/>
    <w:rsid w:val="5252045F"/>
    <w:rsid w:val="52F97BD0"/>
    <w:rsid w:val="56B63A7F"/>
    <w:rsid w:val="56D4087D"/>
    <w:rsid w:val="57224BDA"/>
    <w:rsid w:val="579546D8"/>
    <w:rsid w:val="5B6E25BC"/>
    <w:rsid w:val="5B7C6170"/>
    <w:rsid w:val="5C8843F3"/>
    <w:rsid w:val="5CF27DD3"/>
    <w:rsid w:val="5D5546A4"/>
    <w:rsid w:val="5E7D0077"/>
    <w:rsid w:val="5E81009E"/>
    <w:rsid w:val="5F334CEB"/>
    <w:rsid w:val="607D4FEC"/>
    <w:rsid w:val="61B92F2D"/>
    <w:rsid w:val="64BB1E86"/>
    <w:rsid w:val="67426CB9"/>
    <w:rsid w:val="683C6BCF"/>
    <w:rsid w:val="696A4901"/>
    <w:rsid w:val="69BC0519"/>
    <w:rsid w:val="6D320A99"/>
    <w:rsid w:val="6D901E35"/>
    <w:rsid w:val="6F6367E4"/>
    <w:rsid w:val="6F687016"/>
    <w:rsid w:val="7006216A"/>
    <w:rsid w:val="731E024A"/>
    <w:rsid w:val="75CB3919"/>
    <w:rsid w:val="76437B2F"/>
    <w:rsid w:val="77246C60"/>
    <w:rsid w:val="779352D6"/>
    <w:rsid w:val="779D3918"/>
    <w:rsid w:val="77E46B25"/>
    <w:rsid w:val="791B65A9"/>
    <w:rsid w:val="7C1038F0"/>
    <w:rsid w:val="7F9D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 w:type="character" w:customStyle="1" w:styleId="11">
    <w:name w:val="font01"/>
    <w:basedOn w:val="9"/>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2020-09-10T09:12:17Z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