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ascii="宋体" w:hAnsi="宋体" w:eastAsia="宋体" w:cs="宋体"/>
          <w:b/>
          <w:bCs/>
          <w:i w:val="0"/>
          <w:caps w:val="0"/>
          <w:color w:val="333333"/>
          <w:spacing w:val="0"/>
          <w:sz w:val="32"/>
          <w:szCs w:val="32"/>
          <w:lang w:val="en-US" w:eastAsia="zh-CN"/>
        </w:rPr>
        <w:t>振摇金属浴主机</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振摇金属浴主机（含加热模块、防冷凝保护罩）</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包</w:t>
            </w:r>
            <w:bookmarkStart w:id="1" w:name="_GoBack"/>
            <w:bookmarkEnd w:id="1"/>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177600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177600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三套振摇金属浴设备，用于两部试验室，属急需设备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振摇金属浴设备</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包</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振摇金属浴设备</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4998" w:type="pct"/>
        <w:tblInd w:w="0" w:type="dxa"/>
        <w:tblLayout w:type="autofit"/>
        <w:tblCellMar>
          <w:top w:w="0" w:type="dxa"/>
          <w:left w:w="108" w:type="dxa"/>
          <w:bottom w:w="0" w:type="dxa"/>
          <w:right w:w="108" w:type="dxa"/>
        </w:tblCellMar>
      </w:tblPr>
      <w:tblGrid>
        <w:gridCol w:w="686"/>
        <w:gridCol w:w="871"/>
        <w:gridCol w:w="6962"/>
      </w:tblGrid>
      <w:tr>
        <w:tblPrEx>
          <w:tblCellMar>
            <w:top w:w="0" w:type="dxa"/>
            <w:left w:w="108" w:type="dxa"/>
            <w:bottom w:w="0" w:type="dxa"/>
            <w:right w:w="108" w:type="dxa"/>
          </w:tblCellMar>
        </w:tblPrEx>
        <w:trPr>
          <w:trHeight w:val="212"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参数性质</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编号</w:t>
            </w:r>
          </w:p>
        </w:tc>
        <w:tc>
          <w:tcPr>
            <w:tcW w:w="4085"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技术参数和性能指标</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适用于</w:t>
            </w:r>
            <w:r>
              <w:rPr>
                <w:rFonts w:hint="eastAsia" w:ascii="宋体" w:hAnsi="宋体" w:eastAsia="宋体" w:cs="宋体"/>
                <w:color w:val="000000"/>
                <w:sz w:val="21"/>
                <w:szCs w:val="21"/>
                <w:lang w:val="de-DE" w:eastAsia="zh-CN"/>
              </w:rPr>
              <w:t>加热、混匀、制冷。</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温控范围：室温以下15 ℃</w:t>
            </w:r>
            <w:r>
              <w:rPr>
                <w:rFonts w:hint="eastAsia" w:ascii="宋体" w:hAnsi="宋体" w:eastAsia="宋体" w:cs="宋体"/>
                <w:color w:val="000000"/>
                <w:sz w:val="21"/>
                <w:szCs w:val="21"/>
                <w:lang w:val="en-US" w:eastAsia="zh-CN"/>
              </w:rPr>
              <w:t xml:space="preserve"> 至 </w:t>
            </w:r>
            <w:r>
              <w:rPr>
                <w:rFonts w:hint="eastAsia" w:ascii="宋体" w:hAnsi="宋体" w:eastAsia="宋体" w:cs="宋体"/>
                <w:color w:val="000000"/>
                <w:sz w:val="21"/>
                <w:szCs w:val="21"/>
                <w:lang w:val="de-DE" w:eastAsia="zh-CN"/>
              </w:rPr>
              <w:t>最高100</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val="de-DE" w:eastAsia="zh-CN"/>
              </w:rPr>
              <w:t>℃。</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最低和最高温度设定：1 ℃ / 100 ℃。</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 xml:space="preserve">最大温控精确性：在 20–45℃ </w:t>
            </w:r>
            <w:r>
              <w:rPr>
                <w:rFonts w:hint="eastAsia" w:ascii="宋体" w:hAnsi="宋体" w:eastAsia="宋体" w:cs="宋体"/>
                <w:color w:val="000000"/>
                <w:sz w:val="21"/>
                <w:szCs w:val="21"/>
                <w:lang w:val="en-US" w:eastAsia="zh-CN"/>
              </w:rPr>
              <w:t>时，不超过</w:t>
            </w:r>
            <w:r>
              <w:rPr>
                <w:rFonts w:hint="eastAsia" w:ascii="宋体" w:hAnsi="宋体" w:eastAsia="宋体" w:cs="宋体"/>
                <w:color w:val="000000"/>
                <w:sz w:val="21"/>
                <w:szCs w:val="21"/>
                <w:lang w:val="de-DE" w:eastAsia="zh-CN"/>
              </w:rPr>
              <w:t>± 0.5 ℃。</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温度均一性：在 20–45 ℃</w:t>
            </w:r>
            <w:r>
              <w:rPr>
                <w:rFonts w:hint="eastAsia" w:ascii="宋体" w:hAnsi="宋体" w:eastAsia="宋体" w:cs="宋体"/>
                <w:color w:val="000000"/>
                <w:sz w:val="21"/>
                <w:szCs w:val="21"/>
                <w:lang w:val="en-US" w:eastAsia="zh-CN"/>
              </w:rPr>
              <w:t>时，不超过</w:t>
            </w:r>
            <w:r>
              <w:rPr>
                <w:rFonts w:hint="eastAsia" w:ascii="宋体" w:hAnsi="宋体" w:eastAsia="宋体" w:cs="宋体"/>
                <w:color w:val="000000"/>
                <w:sz w:val="21"/>
                <w:szCs w:val="21"/>
                <w:lang w:val="de-DE" w:eastAsia="zh-CN"/>
              </w:rPr>
              <w:t>± 0.5 ℃。</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最大加热速率：</w:t>
            </w:r>
            <w:r>
              <w:rPr>
                <w:rFonts w:hint="eastAsia" w:ascii="宋体" w:hAnsi="宋体" w:eastAsia="宋体" w:cs="宋体"/>
                <w:color w:val="000000"/>
                <w:sz w:val="21"/>
                <w:szCs w:val="21"/>
                <w:lang w:val="en-US" w:eastAsia="zh-CN"/>
              </w:rPr>
              <w:t>不小于</w:t>
            </w:r>
            <w:r>
              <w:rPr>
                <w:rFonts w:hint="eastAsia" w:ascii="宋体" w:hAnsi="宋体" w:eastAsia="宋体" w:cs="宋体"/>
                <w:color w:val="000000"/>
                <w:sz w:val="21"/>
                <w:szCs w:val="21"/>
                <w:lang w:val="de-DE" w:eastAsia="zh-CN"/>
              </w:rPr>
              <w:t>6 ℃/分钟。</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最大制冷速率：100 ℃ 至室温之间，</w:t>
            </w:r>
            <w:r>
              <w:rPr>
                <w:rFonts w:hint="eastAsia" w:ascii="宋体" w:hAnsi="宋体" w:eastAsia="宋体" w:cs="宋体"/>
                <w:color w:val="000000"/>
                <w:sz w:val="21"/>
                <w:szCs w:val="21"/>
                <w:lang w:val="en-US" w:eastAsia="zh-CN"/>
              </w:rPr>
              <w:t>不小于</w:t>
            </w:r>
            <w:r>
              <w:rPr>
                <w:rFonts w:hint="eastAsia" w:ascii="宋体" w:hAnsi="宋体" w:eastAsia="宋体" w:cs="宋体"/>
                <w:color w:val="000000"/>
                <w:sz w:val="21"/>
                <w:szCs w:val="21"/>
                <w:lang w:val="de-DE" w:eastAsia="zh-CN"/>
              </w:rPr>
              <w:t>2.5 ℃/分钟。</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混匀频率：300–3000 rpm。</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混匀振度（直径）：3 mm。</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计时：15 秒至 99小时，可连续运行。</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可替换10种 加热模块（自动识别），从 5 µL 到 50 mL，可在所有通用样品管和工作板中进行加热、混匀和制冷。</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en-US" w:eastAsia="zh-CN"/>
              </w:rPr>
              <w:t>加</w:t>
            </w:r>
            <w:r>
              <w:rPr>
                <w:rFonts w:hint="eastAsia" w:ascii="宋体" w:hAnsi="宋体" w:eastAsia="宋体" w:cs="宋体"/>
                <w:color w:val="000000"/>
                <w:sz w:val="21"/>
                <w:szCs w:val="21"/>
                <w:lang w:val="de-DE" w:eastAsia="zh-CN"/>
              </w:rPr>
              <w:t>热盖</w:t>
            </w:r>
            <w:r>
              <w:rPr>
                <w:rFonts w:hint="eastAsia" w:ascii="宋体" w:hAnsi="宋体" w:eastAsia="宋体" w:cs="宋体"/>
                <w:color w:val="000000"/>
                <w:sz w:val="21"/>
                <w:szCs w:val="21"/>
                <w:lang w:val="en-US" w:eastAsia="zh-CN"/>
              </w:rPr>
              <w:t>应</w:t>
            </w:r>
            <w:r>
              <w:rPr>
                <w:rFonts w:hint="eastAsia" w:ascii="宋体" w:hAnsi="宋体" w:eastAsia="宋体" w:cs="宋体"/>
                <w:color w:val="000000"/>
                <w:sz w:val="21"/>
                <w:szCs w:val="21"/>
                <w:lang w:val="de-DE" w:eastAsia="zh-CN"/>
              </w:rPr>
              <w:t>具有防冷凝保护技术。</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程序：可编辑</w:t>
            </w:r>
            <w:r>
              <w:rPr>
                <w:rFonts w:hint="eastAsia" w:ascii="宋体" w:hAnsi="宋体" w:eastAsia="宋体" w:cs="宋体"/>
                <w:color w:val="000000"/>
                <w:sz w:val="21"/>
                <w:szCs w:val="21"/>
                <w:lang w:val="en-US" w:eastAsia="zh-CN"/>
              </w:rPr>
              <w:t>至少</w:t>
            </w:r>
            <w:r>
              <w:rPr>
                <w:rFonts w:hint="eastAsia" w:ascii="宋体" w:hAnsi="宋体" w:eastAsia="宋体" w:cs="宋体"/>
                <w:color w:val="000000"/>
                <w:sz w:val="21"/>
                <w:szCs w:val="21"/>
                <w:lang w:val="de-DE" w:eastAsia="zh-CN"/>
              </w:rPr>
              <w:t>20个程序。</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en-US" w:eastAsia="zh-CN"/>
              </w:rPr>
              <w:t>至少</w:t>
            </w:r>
            <w:r>
              <w:rPr>
                <w:rFonts w:hint="eastAsia" w:ascii="宋体" w:hAnsi="宋体" w:eastAsia="宋体" w:cs="宋体"/>
                <w:color w:val="000000"/>
                <w:sz w:val="21"/>
                <w:szCs w:val="21"/>
                <w:lang w:val="de-DE" w:eastAsia="zh-CN"/>
              </w:rPr>
              <w:t>5个快速程序按键（预设、可重写）。</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15</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可编程：</w:t>
            </w:r>
            <w:r>
              <w:rPr>
                <w:rFonts w:hint="eastAsia" w:ascii="宋体" w:hAnsi="宋体" w:eastAsia="宋体" w:cs="宋体"/>
                <w:color w:val="000000"/>
                <w:sz w:val="21"/>
                <w:szCs w:val="21"/>
                <w:lang w:val="en-US" w:eastAsia="zh-CN"/>
              </w:rPr>
              <w:t>可支持</w:t>
            </w:r>
            <w:r>
              <w:rPr>
                <w:rFonts w:hint="eastAsia" w:ascii="宋体" w:hAnsi="宋体" w:eastAsia="宋体" w:cs="宋体"/>
                <w:color w:val="000000"/>
                <w:sz w:val="21"/>
                <w:szCs w:val="21"/>
                <w:lang w:val="de-DE" w:eastAsia="zh-CN"/>
              </w:rPr>
              <w:t>4个编程等级。</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w:t>
            </w: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en-US" w:eastAsia="zh-CN"/>
              </w:rPr>
              <w:t>支持</w:t>
            </w:r>
            <w:r>
              <w:rPr>
                <w:rFonts w:hint="eastAsia" w:ascii="宋体" w:hAnsi="宋体" w:eastAsia="宋体" w:cs="宋体"/>
                <w:color w:val="000000"/>
                <w:sz w:val="21"/>
                <w:szCs w:val="21"/>
                <w:lang w:val="de-DE" w:eastAsia="zh-CN"/>
              </w:rPr>
              <w:t>二维混匀操控方式混匀液体，实现样品在反应管和工作板中快速而有效的混匀。</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en-US" w:eastAsia="zh-CN"/>
              </w:rPr>
              <w:t>支持</w:t>
            </w:r>
            <w:r>
              <w:rPr>
                <w:rFonts w:hint="eastAsia" w:ascii="宋体" w:hAnsi="宋体" w:eastAsia="宋体" w:cs="宋体"/>
                <w:color w:val="000000"/>
                <w:sz w:val="21"/>
                <w:szCs w:val="21"/>
                <w:lang w:val="de-DE" w:eastAsia="zh-CN"/>
              </w:rPr>
              <w:t>防溅射技术，</w:t>
            </w:r>
            <w:r>
              <w:rPr>
                <w:rFonts w:hint="eastAsia" w:ascii="宋体" w:hAnsi="宋体" w:eastAsia="宋体" w:cs="宋体"/>
                <w:color w:val="000000"/>
                <w:sz w:val="21"/>
                <w:szCs w:val="21"/>
                <w:lang w:val="en-US" w:eastAsia="zh-CN"/>
              </w:rPr>
              <w:t>以便能</w:t>
            </w:r>
            <w:r>
              <w:rPr>
                <w:rFonts w:hint="eastAsia" w:ascii="宋体" w:hAnsi="宋体" w:eastAsia="宋体" w:cs="宋体"/>
                <w:color w:val="000000"/>
                <w:sz w:val="21"/>
                <w:szCs w:val="21"/>
                <w:lang w:val="de-DE" w:eastAsia="zh-CN"/>
              </w:rPr>
              <w:t>有效防止管盖润湿和交叉污染。</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de-DE" w:eastAsia="zh-CN"/>
              </w:rPr>
              <w:t>具备瞬时混匀、间断式混匀、时间/温度控制模式、暂停功能、USB接口</w:t>
            </w:r>
            <w:r>
              <w:rPr>
                <w:rFonts w:hint="eastAsia" w:ascii="宋体" w:hAnsi="宋体" w:eastAsia="宋体" w:cs="宋体"/>
                <w:color w:val="000000"/>
                <w:sz w:val="21"/>
                <w:szCs w:val="21"/>
                <w:lang w:val="en-US" w:eastAsia="zh-CN"/>
              </w:rPr>
              <w:t>等功能。</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de-DE" w:eastAsia="zh-CN"/>
              </w:rPr>
              <w:t>加热模块适用于24×1.5 mL样品管。</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val="de-DE" w:eastAsia="zh-CN"/>
              </w:rPr>
            </w:pPr>
            <w:r>
              <w:rPr>
                <w:rFonts w:hint="eastAsia" w:ascii="宋体" w:hAnsi="宋体" w:eastAsia="宋体" w:cs="宋体"/>
                <w:color w:val="000000"/>
                <w:sz w:val="21"/>
                <w:szCs w:val="21"/>
                <w:lang w:val="en-US" w:eastAsia="zh-CN"/>
              </w:rPr>
              <w:t>防冷凝保护罩应能有效防止在管盖和管壁上形成冷凝水，确保样品处于始终如一的酶反应条件下，且支持无线连接与自动识别功能。适用于0.5 mL、1.5 mL、2.0 mL 样品管、工作板、96 孔 PCR 板和 384 孔 PCR 板使用。</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配置要求：金属浴主机3套、加热模块3套、防冷凝保护罩2套。</w:t>
            </w:r>
          </w:p>
        </w:tc>
      </w:tr>
      <w:tr>
        <w:tblPrEx>
          <w:tblCellMar>
            <w:top w:w="0" w:type="dxa"/>
            <w:left w:w="108" w:type="dxa"/>
            <w:bottom w:w="0" w:type="dxa"/>
            <w:right w:w="108" w:type="dxa"/>
          </w:tblCellMar>
        </w:tblPrEx>
        <w:trPr>
          <w:trHeight w:val="149" w:hRule="atLeast"/>
        </w:trPr>
        <w:tc>
          <w:tcPr>
            <w:tcW w:w="4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sz w:val="21"/>
                <w:szCs w:val="21"/>
                <w:lang w:val="en-US" w:eastAsia="zh-CN"/>
              </w:rPr>
            </w:pPr>
          </w:p>
        </w:tc>
        <w:tc>
          <w:tcPr>
            <w:tcW w:w="511" w:type="pct"/>
            <w:tcBorders>
              <w:top w:val="single" w:color="auto" w:sz="4" w:space="0"/>
              <w:left w:val="nil"/>
              <w:bottom w:val="single" w:color="auto" w:sz="4" w:space="0"/>
              <w:right w:val="single" w:color="auto" w:sz="4" w:space="0"/>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w:t>
            </w:r>
          </w:p>
        </w:tc>
        <w:tc>
          <w:tcPr>
            <w:tcW w:w="4085" w:type="pct"/>
            <w:tcBorders>
              <w:top w:val="single" w:color="auto" w:sz="4" w:space="0"/>
              <w:left w:val="nil"/>
              <w:bottom w:val="single" w:color="auto" w:sz="4" w:space="0"/>
              <w:right w:val="single" w:color="auto" w:sz="4" w:space="0"/>
            </w:tcBorders>
            <w:vAlign w:val="center"/>
          </w:tcPr>
          <w:p>
            <w:pPr>
              <w:spacing w:line="240" w:lineRule="auto"/>
              <w:jc w:val="lef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报价要求：金属浴主机、加热模块和防冷凝保护罩需分别报价。</w:t>
            </w:r>
          </w:p>
        </w:tc>
      </w:tr>
      <w:tr>
        <w:tblPrEx>
          <w:tblCellMar>
            <w:top w:w="0" w:type="dxa"/>
            <w:left w:w="108" w:type="dxa"/>
            <w:bottom w:w="0" w:type="dxa"/>
            <w:right w:w="108" w:type="dxa"/>
          </w:tblCellMar>
        </w:tblPrEx>
        <w:trPr>
          <w:trHeight w:val="149"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b/>
                <w:bCs/>
                <w:color w:val="FF0000"/>
                <w:kern w:val="0"/>
                <w:sz w:val="21"/>
                <w:szCs w:val="21"/>
                <w:lang w:val="en-US" w:eastAsia="zh-CN" w:bidi="ar"/>
              </w:rPr>
              <w:t>2.非主要技术参数，≥4条不满足即取消投标资格。另发现有虚假应标情况，将记入我院黑名单目录。</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eastAsiaTheme="minorEastAsia"/>
          <w:b/>
          <w:bCs/>
          <w:sz w:val="24"/>
          <w:szCs w:val="24"/>
          <w:lang w:eastAsia="zh-CN"/>
        </w:rPr>
      </w:pPr>
      <w:r>
        <w:rPr>
          <w:rFonts w:hint="eastAsia" w:asciiTheme="minorEastAsia" w:hAnsiTheme="minorEastAsia"/>
          <w:b/>
          <w:bCs/>
          <w:sz w:val="24"/>
          <w:szCs w:val="24"/>
        </w:rPr>
        <w:t>四、评标方法及评标细则要求</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竞争性谈判</w:t>
      </w:r>
      <w:r>
        <w:rPr>
          <w:rFonts w:hint="eastAsia" w:asciiTheme="minorEastAsia" w:hAnsiTheme="minorEastAsia"/>
          <w:b/>
          <w:bCs/>
          <w:sz w:val="24"/>
          <w:szCs w:val="24"/>
          <w:lang w:eastAsia="zh-CN"/>
        </w:rPr>
        <w:t>）</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41960BC"/>
    <w:rsid w:val="14511D5D"/>
    <w:rsid w:val="14A30191"/>
    <w:rsid w:val="17AF1E4E"/>
    <w:rsid w:val="18803BFB"/>
    <w:rsid w:val="1B031D68"/>
    <w:rsid w:val="21B676CB"/>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1C2436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2020-10-20T01:31:09Z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