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ascii="宋体" w:hAnsi="宋体" w:eastAsia="宋体" w:cs="宋体"/>
          <w:b/>
          <w:bCs/>
          <w:i w:val="0"/>
          <w:caps w:val="0"/>
          <w:color w:val="333333"/>
          <w:spacing w:val="0"/>
          <w:sz w:val="32"/>
          <w:szCs w:val="32"/>
          <w:lang w:val="en-US" w:eastAsia="zh-CN"/>
        </w:rPr>
        <w:t>婴儿呼吸机</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婴儿呼吸机</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1台婴儿呼吸机</w:t>
      </w:r>
      <w:r>
        <w:rPr>
          <w:rFonts w:hint="eastAsia" w:ascii="宋体" w:hAnsi="宋体"/>
          <w:sz w:val="24"/>
          <w:szCs w:val="24"/>
          <w:u w:val="single"/>
        </w:rPr>
        <w:t>，</w:t>
      </w:r>
      <w:r>
        <w:rPr>
          <w:rFonts w:hint="eastAsia" w:ascii="宋体" w:hAnsi="宋体"/>
          <w:sz w:val="24"/>
          <w:szCs w:val="24"/>
          <w:u w:val="single"/>
          <w:lang w:val="en-US" w:eastAsia="zh-CN"/>
        </w:rPr>
        <w:t>要求为早产儿、新生儿专用的经鼻正压无创呼吸机，用于新生儿患者的生命支持与呼吸治疗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婴儿呼吸机</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婴儿呼吸机</w:t>
      </w:r>
      <w:r>
        <w:rPr>
          <w:rFonts w:hint="eastAsia" w:ascii="宋体" w:hAnsi="宋体" w:cs="宋体"/>
          <w:sz w:val="24"/>
          <w:szCs w:val="24"/>
        </w:rPr>
        <w:t>。</w:t>
      </w:r>
    </w:p>
    <w:tbl>
      <w:tblPr>
        <w:tblStyle w:val="7"/>
        <w:tblW w:w="8534" w:type="dxa"/>
        <w:jc w:val="center"/>
        <w:tblLayout w:type="fixed"/>
        <w:tblCellMar>
          <w:top w:w="0" w:type="dxa"/>
          <w:left w:w="108" w:type="dxa"/>
          <w:bottom w:w="0" w:type="dxa"/>
          <w:right w:w="108" w:type="dxa"/>
        </w:tblCellMar>
      </w:tblPr>
      <w:tblGrid>
        <w:gridCol w:w="675"/>
        <w:gridCol w:w="709"/>
        <w:gridCol w:w="7150"/>
      </w:tblGrid>
      <w:tr>
        <w:tblPrEx>
          <w:tblCellMar>
            <w:top w:w="0" w:type="dxa"/>
            <w:left w:w="108" w:type="dxa"/>
            <w:bottom w:w="0" w:type="dxa"/>
            <w:right w:w="108" w:type="dxa"/>
          </w:tblCellMar>
        </w:tblPrEx>
        <w:trPr>
          <w:trHeight w:val="21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早产儿、新生儿专用的经鼻正压无创呼吸机。</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LED显示屏，触摸屏操作，同屏显示呼吸模式、监测数据、实时波形及报警状态。</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3</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需采用新生儿专用正压发生器，气流压力稳定。</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4</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呼气端采用开放式设计，有利于呼出CO2排出。</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5</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具备旁路空氧混合气体输出口，呼吸机可同时为两名患儿提供呼吸支持。</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6</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通气模式：单水平(nCPAP)气道正压通气模式，单水平(nCPAP)气道正压通气及呼吸频率监测、窒息报警模式，双水平(BiPhasic)气道正压通气模式，双水平(BiPhasic)气道正压通气及呼吸频率监测、窒息报警模式。</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7</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机械浮标式双流量计，流量控制范围：低水平流量0–15升/分，高水平流量0–5升/分。采用机械式流量计，断电后流量计可以持续正常工作，确保临床安全。</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8</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吸气时间：0.1–3秒可调。</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9</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内置机械式空氧混合器，断电后可以持续提供精确浓度的空氧混合气体。氧浓度控制范围21-100%，精度≤±3%。</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10</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实时监测：气道峰压(PIP)、平均气道压(MAP)、呼吸末正压(PEEP)、nCPAP、呼吸频率、吸气时间、吸入氧浓度</w:t>
            </w:r>
            <w:r>
              <w:rPr>
                <w:rFonts w:hint="eastAsia" w:ascii="宋体" w:hAnsi="宋体" w:eastAsia="宋体" w:cs="宋体"/>
                <w:sz w:val="21"/>
                <w:szCs w:val="21"/>
                <w:lang w:eastAsia="zh-CN"/>
              </w:rPr>
              <w:t>等</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11</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口鼻端监测压力，监测范围：nCPAP 0–10cmH2O，MAP 0–15cmH2O，PIP 0–15cmH2O，PEEP 0–10cmH2O。精度≤±1cmH2O。</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12</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氧浓度监测范围 21–100%，精度≤±3%，并具备氧浓度偏离报警。</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13</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采用腹部触发传感器实时监测婴儿呼吸频率，可识别低呼吸频率和婴儿窒息，并具备窒息报警功能和手动支持通气功能。</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14</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具备安全限制阀：压力超过11cmH2O则停止送气，3秒后恢复供气，确保临床安全。</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15</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内置后备电池工作时间≥1小时。</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16</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流量和氧浓度机械控制式设计，确保在断电情况下，仍可为患儿提供持续的经鼻高流量呼吸支持，确保临床安全。</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17</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报警设置：</w:t>
            </w:r>
            <w:r>
              <w:rPr>
                <w:rFonts w:hint="eastAsia" w:ascii="宋体" w:hAnsi="宋体" w:eastAsia="宋体" w:cs="宋体"/>
                <w:sz w:val="21"/>
                <w:szCs w:val="21"/>
                <w:lang w:eastAsia="zh-CN"/>
              </w:rPr>
              <w:t>至少支持</w:t>
            </w:r>
            <w:r>
              <w:rPr>
                <w:rFonts w:hint="eastAsia" w:ascii="宋体" w:hAnsi="宋体" w:eastAsia="宋体" w:cs="宋体"/>
                <w:sz w:val="21"/>
                <w:szCs w:val="21"/>
              </w:rPr>
              <w:t>高气道压报警、低气道压报警、高氧浓度报警、低氧浓度报警、低呼吸频率报警、低电池报警。</w:t>
            </w:r>
          </w:p>
        </w:tc>
      </w:tr>
      <w:tr>
        <w:tblPrEx>
          <w:tblCellMar>
            <w:top w:w="0" w:type="dxa"/>
            <w:left w:w="108" w:type="dxa"/>
            <w:bottom w:w="0" w:type="dxa"/>
            <w:right w:w="108" w:type="dxa"/>
          </w:tblCellMar>
        </w:tblPrEx>
        <w:trPr>
          <w:trHeight w:val="36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bidi="lo-LA"/>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18</w:t>
            </w:r>
          </w:p>
        </w:tc>
        <w:tc>
          <w:tcPr>
            <w:tcW w:w="7150"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配备所投</w:t>
            </w:r>
            <w:r>
              <w:rPr>
                <w:rFonts w:hint="eastAsia" w:ascii="宋体" w:hAnsi="宋体" w:eastAsia="宋体" w:cs="宋体"/>
                <w:sz w:val="21"/>
                <w:szCs w:val="21"/>
                <w:lang w:eastAsia="zh-CN"/>
              </w:rPr>
              <w:t>产品</w:t>
            </w:r>
            <w:r>
              <w:rPr>
                <w:rFonts w:hint="eastAsia" w:ascii="宋体" w:hAnsi="宋体" w:eastAsia="宋体" w:cs="宋体"/>
                <w:sz w:val="21"/>
                <w:szCs w:val="21"/>
              </w:rPr>
              <w:t>原厂生产的新生儿专用正压发生器和各种规格的鼻塞、鼻罩，以上呼吸机附件需通过CFDA认证，具备国家医疗器械注册证书。</w:t>
            </w:r>
          </w:p>
        </w:tc>
      </w:tr>
      <w:tr>
        <w:tblPrEx>
          <w:tblCellMar>
            <w:top w:w="0" w:type="dxa"/>
            <w:left w:w="108" w:type="dxa"/>
            <w:bottom w:w="0" w:type="dxa"/>
            <w:right w:w="108" w:type="dxa"/>
          </w:tblCellMar>
        </w:tblPrEx>
        <w:trPr>
          <w:trHeight w:val="365" w:hRule="atLeast"/>
          <w:jc w:val="center"/>
        </w:trPr>
        <w:tc>
          <w:tcPr>
            <w:tcW w:w="853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b/>
                <w:bCs/>
                <w:color w:val="FF0000"/>
                <w:kern w:val="0"/>
                <w:sz w:val="21"/>
                <w:szCs w:val="21"/>
                <w:lang w:val="en-US" w:eastAsia="zh-CN" w:bidi="ar"/>
              </w:rPr>
              <w:t>2.非主要技术参数，≥3条不满足即取消投标资格</w:t>
            </w:r>
            <w:r>
              <w:rPr>
                <w:rFonts w:hint="eastAsia" w:ascii="宋体" w:hAnsi="宋体" w:eastAsia="宋体" w:cs="宋体"/>
                <w:kern w:val="0"/>
                <w:sz w:val="21"/>
                <w:szCs w:val="21"/>
              </w:rPr>
              <w:t>。</w:t>
            </w:r>
            <w:r>
              <w:rPr>
                <w:rFonts w:hint="eastAsia" w:ascii="宋体" w:hAnsi="宋体" w:eastAsia="宋体" w:cs="宋体"/>
                <w:b/>
                <w:bCs/>
                <w:color w:val="FF0000"/>
                <w:kern w:val="0"/>
                <w:sz w:val="21"/>
                <w:szCs w:val="21"/>
                <w:lang w:val="en-US" w:eastAsia="zh-CN" w:bidi="ar"/>
              </w:rPr>
              <w:t>另发现有虚假应标情况，将记入我院黑名单目录。</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2020-10-29T03:52:53Z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