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角膜内皮细胞显微镜（二次）</w:t>
      </w: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2020年11月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角膜内皮细胞显微镜</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台</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320000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合同签订后14个工作日内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1台角膜内皮细胞显微镜</w:t>
      </w:r>
      <w:r>
        <w:rPr>
          <w:rFonts w:hint="eastAsia" w:ascii="宋体" w:hAnsi="宋体"/>
          <w:sz w:val="24"/>
          <w:szCs w:val="24"/>
          <w:u w:val="single"/>
        </w:rPr>
        <w:t>，</w:t>
      </w:r>
      <w:r>
        <w:rPr>
          <w:rFonts w:hint="eastAsia" w:ascii="宋体" w:hAnsi="宋体"/>
          <w:sz w:val="24"/>
          <w:szCs w:val="24"/>
          <w:u w:val="single"/>
          <w:lang w:val="en-US" w:eastAsia="zh-CN"/>
        </w:rPr>
        <w:t>用于角膜内皮细胞显微放大检查、摄像及角膜厚度测量等</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角膜内皮细胞显微镜</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val="en-US"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角膜内皮细胞显微镜</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21"/>
        <w:gridCol w:w="831"/>
        <w:gridCol w:w="6951"/>
      </w:tblGrid>
      <w:tr>
        <w:tblPrEx>
          <w:tblCellMar>
            <w:top w:w="0" w:type="dxa"/>
            <w:left w:w="108" w:type="dxa"/>
            <w:bottom w:w="0" w:type="dxa"/>
            <w:right w:w="108" w:type="dxa"/>
          </w:tblCellMar>
        </w:tblPrEx>
        <w:trPr>
          <w:trHeight w:val="212"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95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拍摄方式：非接触式。</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val="en-US" w:eastAsia="zh-CN" w:bidi="lo-LA"/>
              </w:rPr>
              <w:t>2</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lang w:bidi="lo-LA"/>
              </w:rPr>
            </w:pPr>
            <w:r>
              <w:rPr>
                <w:rStyle w:val="11"/>
                <w:rFonts w:hint="eastAsia" w:ascii="宋体" w:hAnsi="宋体" w:eastAsia="宋体" w:cs="宋体"/>
                <w:kern w:val="2"/>
                <w:sz w:val="21"/>
                <w:szCs w:val="21"/>
                <w:lang w:val="en-US" w:eastAsia="zh-CN" w:bidi="ar-SA"/>
              </w:rPr>
              <w:t>照相范围：≥0.25mm*0.4mm。</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拍摄方法：全自动、手动一体。</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测量方式：确保一次测量成功率，连续自动拍摄多张照片（非一张），选取最佳照片。</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角膜厚度测量：+/-10um。</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拍摄测量区域：最低13点。</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对焦方式：全自动3D对焦，左右眼一键切换。</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显示分析参数：至少支持内皮细胞参数、平均细胞面积、标准偏离细胞面积、变化系数细胞面积、最大细胞面积、最小细胞面积、内皮细胞厚度、分析细胞数。</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分析方法：自动分析、手动分析。</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分析时间：2秒内完成分析。</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显示功能：至少支持内皮细胞图像、有轮廓的内皮细胞图像、不同面积大小的内皮细胞图像、不同结构形状的内皮细胞图像。</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数据库：存储显示患者的内皮照片及参数值。</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val="en-US" w:eastAsia="zh-CN" w:bidi="lo-LA"/>
              </w:rPr>
              <w:t>*</w:t>
            </w: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6951" w:type="dxa"/>
            <w:tcBorders>
              <w:top w:val="single" w:color="auto" w:sz="4" w:space="0"/>
              <w:left w:val="nil"/>
              <w:bottom w:val="single" w:color="auto" w:sz="4" w:space="0"/>
              <w:right w:val="single" w:color="auto" w:sz="4" w:space="0"/>
            </w:tcBorders>
            <w:vAlign w:val="center"/>
          </w:tcPr>
          <w:p>
            <w:pPr>
              <w:spacing w:line="240" w:lineRule="auto"/>
              <w:rPr>
                <w:rFonts w:hint="default" w:ascii="宋体" w:hAnsi="宋体" w:eastAsia="宋体" w:cs="宋体"/>
                <w:sz w:val="21"/>
                <w:szCs w:val="21"/>
                <w:lang w:val="en-US"/>
              </w:rPr>
            </w:pPr>
            <w:r>
              <w:rPr>
                <w:rStyle w:val="11"/>
                <w:rFonts w:hint="eastAsia" w:ascii="宋体" w:hAnsi="宋体" w:eastAsia="宋体" w:cs="宋体"/>
                <w:kern w:val="2"/>
                <w:sz w:val="21"/>
                <w:szCs w:val="21"/>
                <w:lang w:val="en-US" w:eastAsia="zh-CN" w:bidi="ar-SA"/>
              </w:rPr>
              <w:t>暗区分析：能对内皮细胞的暗区进行自动分析。</w:t>
            </w:r>
          </w:p>
        </w:tc>
      </w:tr>
      <w:tr>
        <w:tblPrEx>
          <w:tblCellMar>
            <w:top w:w="0" w:type="dxa"/>
            <w:left w:w="108" w:type="dxa"/>
            <w:bottom w:w="0" w:type="dxa"/>
            <w:right w:w="108" w:type="dxa"/>
          </w:tblCellMar>
        </w:tblPrEx>
        <w:trPr>
          <w:trHeight w:val="365"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3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6951" w:type="dxa"/>
            <w:tcBorders>
              <w:top w:val="single" w:color="auto" w:sz="4" w:space="0"/>
              <w:left w:val="nil"/>
              <w:bottom w:val="single" w:color="auto" w:sz="4" w:space="0"/>
              <w:right w:val="single" w:color="auto" w:sz="4" w:space="0"/>
            </w:tcBorders>
            <w:vAlign w:val="center"/>
          </w:tcPr>
          <w:p>
            <w:pPr>
              <w:spacing w:line="240" w:lineRule="auto"/>
              <w:jc w:val="both"/>
              <w:textAlignment w:val="baseline"/>
              <w:rPr>
                <w:rFonts w:hint="eastAsia" w:ascii="宋体" w:hAnsi="宋体" w:eastAsia="宋体" w:cs="宋体"/>
                <w:sz w:val="21"/>
                <w:szCs w:val="21"/>
              </w:rPr>
            </w:pPr>
            <w:r>
              <w:rPr>
                <w:rStyle w:val="11"/>
                <w:rFonts w:hint="eastAsia" w:ascii="宋体" w:hAnsi="宋体" w:eastAsia="宋体" w:cs="宋体"/>
                <w:kern w:val="2"/>
                <w:sz w:val="21"/>
                <w:szCs w:val="21"/>
                <w:lang w:val="en-US" w:eastAsia="zh-CN" w:bidi="ar-SA"/>
              </w:rPr>
              <w:t>显示屏：≥10"彩色液晶触摸屏。</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
                <w:bCs/>
                <w:color w:val="FF0000"/>
                <w:kern w:val="0"/>
                <w:sz w:val="21"/>
                <w:szCs w:val="21"/>
                <w:lang w:val="en-US" w:eastAsia="zh-CN" w:bidi="ar"/>
              </w:rPr>
            </w:pPr>
            <w:r>
              <w:rPr>
                <w:rFonts w:hint="eastAsia" w:ascii="宋体" w:hAnsi="宋体" w:eastAsia="宋体" w:cs="宋体"/>
                <w:b/>
                <w:bCs/>
                <w:color w:val="FF0000"/>
                <w:kern w:val="0"/>
                <w:sz w:val="21"/>
                <w:szCs w:val="21"/>
                <w:lang w:val="en-US" w:eastAsia="zh-CN" w:bidi="ar"/>
              </w:rPr>
              <w:t>注：1.“参数性质”标“*”表示此参数为主要技术参数，不满足任意1条即取消投标资格。</w:t>
            </w:r>
          </w:p>
          <w:p>
            <w:pPr>
              <w:spacing w:line="240" w:lineRule="auto"/>
              <w:rPr>
                <w:rFonts w:hint="eastAsia" w:ascii="宋体" w:hAnsi="宋体" w:eastAsia="宋体" w:cs="宋体"/>
                <w:sz w:val="21"/>
                <w:szCs w:val="21"/>
              </w:rPr>
            </w:pPr>
            <w:r>
              <w:rPr>
                <w:rFonts w:hint="eastAsia" w:ascii="宋体" w:hAnsi="宋体" w:eastAsia="宋体" w:cs="宋体"/>
                <w:b/>
                <w:bCs/>
                <w:color w:val="FF0000"/>
                <w:kern w:val="0"/>
                <w:sz w:val="21"/>
                <w:szCs w:val="21"/>
                <w:lang w:val="en-US" w:eastAsia="zh-CN" w:bidi="ar"/>
              </w:rPr>
              <w:t>2.非主要技术参数，≥3条不满足即取消投标资格。另发现有虚假应标情况，将记入我院黑名单目录。</w:t>
            </w:r>
          </w:p>
        </w:tc>
      </w:tr>
    </w:tbl>
    <w:p>
      <w:pPr>
        <w:spacing w:line="360" w:lineRule="auto"/>
        <w:rPr>
          <w:rFonts w:hint="eastAsia" w:asciiTheme="minorEastAsia" w:hAnsiTheme="minorEastAsia"/>
          <w:b/>
          <w:bCs/>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20" w:firstLineChars="200"/>
        <w:rPr>
          <w:rFonts w:hint="eastAsia" w:ascii="宋体" w:hAnsi="宋体" w:cs="宋体"/>
          <w:b w:val="0"/>
          <w:bCs/>
          <w:kern w:val="0"/>
          <w:sz w:val="21"/>
          <w:szCs w:val="21"/>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2"/>
        <w:rPr>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黑名单记录内容：投标厂家名称、法人名称（身份证号）、经办人姓名（身份证号</w:t>
      </w:r>
      <w:bookmarkStart w:id="1" w:name="_GoBack"/>
      <w:bookmarkEnd w:id="1"/>
      <w:r>
        <w:rPr>
          <w:rFonts w:hint="eastAsia" w:ascii="宋体" w:hAnsi="宋体" w:eastAsia="宋体" w:cs="宋体"/>
          <w:b w:val="0"/>
          <w:bCs w:val="0"/>
          <w:sz w:val="24"/>
          <w:szCs w:val="24"/>
          <w:lang w:val="en-US" w:eastAsia="zh-CN"/>
        </w:rPr>
        <w:t>）、联系电话等。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3"/>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2"/>
        <w:rPr>
          <w:rFonts w:hint="eastAsia"/>
          <w:color w:val="000000"/>
        </w:rPr>
      </w:pPr>
    </w:p>
    <w:p>
      <w:pPr>
        <w:pStyle w:val="2"/>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564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7360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66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66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7462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j+DIfYAAAADQEAAA8AAAAAAAAAAQAgAAAAIgAAAGRycy9kb3du&#10;cmV2LnhtbFBLAQIUABQAAAAIAIdO4kDiNMhL/wEAACkEAAAOAAAAAAAAAAEAIAAAACcBAABkcnMv&#10;ZTJvRG9jLnhtbFBLBQYAAAAABgAGAFkBAACYBQ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B926A4B"/>
    <w:rsid w:val="0E280BA1"/>
    <w:rsid w:val="0FA35DBE"/>
    <w:rsid w:val="10D51590"/>
    <w:rsid w:val="111B7AAD"/>
    <w:rsid w:val="1368671D"/>
    <w:rsid w:val="141960BC"/>
    <w:rsid w:val="14511D5D"/>
    <w:rsid w:val="14A30191"/>
    <w:rsid w:val="14BB40C9"/>
    <w:rsid w:val="17AF1E4E"/>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9EF7A7C"/>
    <w:rsid w:val="3E843922"/>
    <w:rsid w:val="3FB454E1"/>
    <w:rsid w:val="43A623BD"/>
    <w:rsid w:val="43E1752F"/>
    <w:rsid w:val="478C50C3"/>
    <w:rsid w:val="4803283D"/>
    <w:rsid w:val="4B645A8C"/>
    <w:rsid w:val="4B8219EB"/>
    <w:rsid w:val="4C0130D0"/>
    <w:rsid w:val="4C2B118A"/>
    <w:rsid w:val="4C873D0A"/>
    <w:rsid w:val="4DE61182"/>
    <w:rsid w:val="4F4C28E7"/>
    <w:rsid w:val="51827267"/>
    <w:rsid w:val="51F278FD"/>
    <w:rsid w:val="52F97BD0"/>
    <w:rsid w:val="537C1673"/>
    <w:rsid w:val="568E4089"/>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40D6224"/>
    <w:rsid w:val="75CB3919"/>
    <w:rsid w:val="76437B2F"/>
    <w:rsid w:val="77246C60"/>
    <w:rsid w:val="77E46B25"/>
    <w:rsid w:val="791B65A9"/>
    <w:rsid w:val="7D027B47"/>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 w:type="character" w:customStyle="1" w:styleId="11">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2020-11-23T01:36:58Z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