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bCs/>
          <w:sz w:val="32"/>
          <w:szCs w:val="32"/>
          <w:lang w:val="en-US" w:eastAsia="zh-CN"/>
        </w:rPr>
      </w:pPr>
      <w:r>
        <w:rPr>
          <w:rFonts w:hint="eastAsia"/>
          <w:b/>
          <w:bCs/>
          <w:sz w:val="32"/>
          <w:szCs w:val="32"/>
          <w:lang w:val="en-US" w:eastAsia="zh-CN"/>
        </w:rPr>
        <w:t>心电血氧遥测盒</w:t>
      </w:r>
    </w:p>
    <w:p>
      <w:pPr>
        <w:numPr>
          <w:ilvl w:val="0"/>
          <w:numId w:val="0"/>
        </w:numPr>
        <w:jc w:val="center"/>
        <w:rPr>
          <w:rFonts w:hint="eastAsia"/>
          <w:b/>
          <w:bCs/>
          <w:sz w:val="28"/>
          <w:szCs w:val="28"/>
          <w:lang w:val="en-US" w:eastAsia="zh-CN"/>
        </w:rPr>
      </w:pPr>
    </w:p>
    <w:p>
      <w:pPr>
        <w:numPr>
          <w:ilvl w:val="0"/>
          <w:numId w:val="0"/>
        </w:numPr>
        <w:jc w:val="center"/>
        <w:rPr>
          <w:rFonts w:hint="default"/>
          <w:b/>
          <w:bCs/>
          <w:sz w:val="28"/>
          <w:szCs w:val="28"/>
          <w:lang w:val="en-US" w:eastAsia="zh-CN"/>
        </w:rPr>
      </w:pPr>
      <w:r>
        <w:rPr>
          <w:rFonts w:hint="eastAsia"/>
          <w:b/>
          <w:bCs/>
          <w:sz w:val="28"/>
          <w:szCs w:val="28"/>
          <w:lang w:val="en-US" w:eastAsia="zh-CN"/>
        </w:rPr>
        <w:t>2021年3月30日</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637"/>
        <w:gridCol w:w="978"/>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637"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97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心电血氧遥测盒</w:t>
            </w:r>
          </w:p>
        </w:tc>
        <w:tc>
          <w:tcPr>
            <w:tcW w:w="637"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套</w:t>
            </w:r>
          </w:p>
        </w:tc>
        <w:tc>
          <w:tcPr>
            <w:tcW w:w="97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20</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40套心电血氧遥测盒，与在用中心监护系统配套使用，要求支持心电和血氧监测功能</w:t>
      </w:r>
      <w:r>
        <w:rPr>
          <w:rFonts w:hint="eastAsia" w:ascii="宋体" w:hAnsi="宋体"/>
          <w:sz w:val="24"/>
          <w:szCs w:val="24"/>
          <w:u w:val="single"/>
          <w:lang w:eastAsia="zh-CN"/>
        </w:rPr>
        <w:t>。</w:t>
      </w:r>
    </w:p>
    <w:p>
      <w:pPr>
        <w:spacing w:line="360" w:lineRule="auto"/>
        <w:ind w:right="57" w:firstLine="0"/>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编号</w:t>
            </w:r>
          </w:p>
        </w:tc>
        <w:tc>
          <w:tcPr>
            <w:tcW w:w="27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技术参数和性能指标</w:t>
            </w:r>
          </w:p>
        </w:tc>
        <w:tc>
          <w:tcPr>
            <w:tcW w:w="8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数</w:t>
            </w:r>
            <w:r>
              <w:rPr>
                <w:rFonts w:ascii="宋体" w:hAnsi="宋体" w:cs="宋体"/>
                <w:sz w:val="24"/>
                <w:szCs w:val="24"/>
              </w:rPr>
              <w:t xml:space="preserve"> </w:t>
            </w:r>
            <w:r>
              <w:rPr>
                <w:rFonts w:hint="eastAsia" w:ascii="宋体" w:hAnsi="宋体" w:cs="宋体"/>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w:t>
            </w:r>
          </w:p>
        </w:tc>
        <w:tc>
          <w:tcPr>
            <w:tcW w:w="577" w:type="dxa"/>
            <w:tcBorders>
              <w:top w:val="nil"/>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ascii="宋体" w:hAnsi="宋体" w:cs="宋体"/>
                <w:sz w:val="24"/>
                <w:szCs w:val="24"/>
              </w:rPr>
              <w:t>1</w:t>
            </w:r>
          </w:p>
        </w:tc>
        <w:tc>
          <w:tcPr>
            <w:tcW w:w="2700" w:type="dxa"/>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心电血氧遥测盒</w:t>
            </w:r>
          </w:p>
        </w:tc>
        <w:tc>
          <w:tcPr>
            <w:tcW w:w="2417" w:type="dxa"/>
            <w:tcBorders>
              <w:top w:val="nil"/>
              <w:left w:val="single" w:color="auto" w:sz="4" w:space="0"/>
              <w:bottom w:val="single" w:color="auto" w:sz="4" w:space="0"/>
            </w:tcBorders>
            <w:vAlign w:val="center"/>
          </w:tcPr>
          <w:p>
            <w:pPr>
              <w:spacing w:line="360" w:lineRule="auto"/>
              <w:jc w:val="center"/>
              <w:rPr>
                <w:rFonts w:hint="eastAsia" w:ascii="宋体" w:hAnsi="宋体" w:eastAsiaTheme="minorEastAsia"/>
                <w:sz w:val="24"/>
                <w:szCs w:val="24"/>
                <w:lang w:eastAsia="zh-CN"/>
              </w:rPr>
            </w:pPr>
            <w:r>
              <w:rPr>
                <w:rFonts w:hint="eastAsia" w:ascii="宋体" w:hAnsi="宋体" w:cs="宋体"/>
                <w:sz w:val="24"/>
                <w:szCs w:val="24"/>
              </w:rPr>
              <w:t>技术参数详见附表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eastAsia="zh-CN"/>
              </w:rPr>
              <w:t>套</w:t>
            </w:r>
          </w:p>
        </w:tc>
        <w:tc>
          <w:tcPr>
            <w:tcW w:w="905" w:type="dxa"/>
            <w:tcBorders>
              <w:top w:val="nil"/>
              <w:left w:val="single" w:color="auto" w:sz="4" w:space="0"/>
              <w:bottom w:val="single" w:color="auto" w:sz="4" w:space="0"/>
              <w:right w:val="single" w:color="auto" w:sz="4" w:space="0"/>
            </w:tcBorders>
            <w:vAlign w:val="center"/>
          </w:tcPr>
          <w:p>
            <w:pPr>
              <w:spacing w:line="360" w:lineRule="auto"/>
              <w:jc w:val="center"/>
              <w:rPr>
                <w:rFonts w:hint="default" w:ascii="宋体" w:hAnsi="宋体" w:eastAsiaTheme="minorEastAsia"/>
                <w:sz w:val="24"/>
                <w:szCs w:val="24"/>
                <w:lang w:val="en-US" w:eastAsia="zh-CN"/>
              </w:rPr>
            </w:pPr>
            <w:r>
              <w:rPr>
                <w:rFonts w:hint="eastAsia" w:ascii="宋体" w:hAnsi="宋体"/>
                <w:sz w:val="24"/>
                <w:szCs w:val="24"/>
                <w:lang w:val="en-US" w:eastAsia="zh-CN"/>
              </w:rPr>
              <w:t>20</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注：1.“参数性质”标“</w:t>
            </w:r>
            <w:r>
              <w:rPr>
                <w:rFonts w:hint="eastAsia" w:ascii="宋体" w:hAnsi="宋体"/>
                <w:sz w:val="24"/>
                <w:szCs w:val="24"/>
              </w:rPr>
              <w:t>△</w:t>
            </w:r>
            <w:r>
              <w:rPr>
                <w:rFonts w:hint="eastAsia" w:ascii="宋体" w:hAnsi="宋体" w:cs="宋体"/>
                <w:sz w:val="24"/>
                <w:szCs w:val="24"/>
              </w:rPr>
              <w:t>”表示此设备为核心产品。</w:t>
            </w:r>
          </w:p>
          <w:p>
            <w:pPr>
              <w:spacing w:line="360" w:lineRule="auto"/>
              <w:rPr>
                <w:rFonts w:ascii="宋体" w:hAnsi="宋体" w:cs="宋体"/>
                <w:sz w:val="24"/>
                <w:szCs w:val="24"/>
              </w:rPr>
            </w:pPr>
            <w:r>
              <w:rPr>
                <w:rFonts w:hint="eastAsia" w:ascii="宋体" w:hAnsi="宋体" w:cs="宋体"/>
                <w:sz w:val="24"/>
                <w:szCs w:val="24"/>
              </w:rPr>
              <w:t>2.</w:t>
            </w:r>
            <w:r>
              <w:rPr>
                <w:rFonts w:hint="eastAsia"/>
              </w:rPr>
              <w:t xml:space="preserve"> </w:t>
            </w:r>
            <w:r>
              <w:rPr>
                <w:rFonts w:hint="eastAsia" w:ascii="宋体" w:hAnsi="宋体" w:cs="宋体"/>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eastAsia="zh-CN"/>
        </w:rPr>
        <w:t>心电血氧遥测盒</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23"/>
        <w:gridCol w:w="13"/>
        <w:gridCol w:w="805"/>
        <w:gridCol w:w="6962"/>
      </w:tblGrid>
      <w:tr>
        <w:tblPrEx>
          <w:tblCellMar>
            <w:top w:w="0" w:type="dxa"/>
            <w:left w:w="108" w:type="dxa"/>
            <w:bottom w:w="0" w:type="dxa"/>
            <w:right w:w="108" w:type="dxa"/>
          </w:tblCellMar>
        </w:tblPrEx>
        <w:trPr>
          <w:trHeight w:val="212" w:hRule="atLeast"/>
        </w:trPr>
        <w:tc>
          <w:tcPr>
            <w:tcW w:w="72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818" w:type="dxa"/>
            <w:gridSpan w:val="2"/>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6962"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212" w:hRule="atLeast"/>
        </w:trPr>
        <w:tc>
          <w:tcPr>
            <w:tcW w:w="73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可监测心电</w:t>
            </w:r>
            <w:r>
              <w:rPr>
                <w:rFonts w:hint="eastAsia" w:ascii="宋体" w:hAnsi="宋体" w:eastAsia="宋体" w:cs="宋体"/>
                <w:sz w:val="21"/>
                <w:szCs w:val="21"/>
                <w:lang w:eastAsia="zh-CN"/>
              </w:rPr>
              <w:t>和</w:t>
            </w:r>
            <w:r>
              <w:rPr>
                <w:rFonts w:hint="eastAsia" w:ascii="宋体" w:hAnsi="宋体" w:eastAsia="宋体" w:cs="宋体"/>
                <w:sz w:val="21"/>
                <w:szCs w:val="21"/>
              </w:rPr>
              <w:t>血氧饱和度</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lang w:bidi="lo-LA"/>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2</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bidi="lo-LA"/>
              </w:rPr>
              <w:t>采用无线窄带传输技术（GFSK），发射盒与接收装置之间明视距离≥95米，</w:t>
            </w:r>
            <w:r>
              <w:rPr>
                <w:rFonts w:hint="eastAsia" w:ascii="宋体" w:hAnsi="宋体" w:eastAsia="宋体" w:cs="宋体"/>
                <w:sz w:val="21"/>
                <w:szCs w:val="21"/>
                <w:lang w:eastAsia="zh-CN" w:bidi="lo-LA"/>
              </w:rPr>
              <w:t>应</w:t>
            </w:r>
            <w:r>
              <w:rPr>
                <w:rFonts w:hint="eastAsia" w:ascii="宋体" w:hAnsi="宋体" w:eastAsia="宋体" w:cs="宋体"/>
                <w:sz w:val="21"/>
                <w:szCs w:val="21"/>
                <w:lang w:bidi="lo-LA"/>
              </w:rPr>
              <w:t>稳定可靠</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sz w:val="21"/>
                <w:szCs w:val="21"/>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3</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bidi="lo-LA"/>
              </w:rPr>
              <w:t>电池使用时间：ECG+SpO2≥28小时，ECG≥90小时，待机休眠时间≥24天</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sz w:val="21"/>
                <w:szCs w:val="21"/>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4</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bidi="lo-LA"/>
              </w:rPr>
              <w:t>防护等级≥IPX03</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sz w:val="21"/>
                <w:szCs w:val="21"/>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5</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bidi="lo-LA"/>
              </w:rPr>
              <w:t>通过CE认证</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sz w:val="21"/>
                <w:szCs w:val="21"/>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6</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bidi="lo-LA"/>
              </w:rPr>
              <w:t>具有LED指示灯指示：工作/休眠状态、导联脱落、电池电量低、按键响应、发射盒故障</w:t>
            </w:r>
            <w:r>
              <w:rPr>
                <w:rFonts w:hint="eastAsia" w:ascii="宋体" w:hAnsi="宋体" w:eastAsia="宋体" w:cs="宋体"/>
                <w:sz w:val="21"/>
                <w:szCs w:val="21"/>
                <w:lang w:eastAsia="zh-CN" w:bidi="lo-LA"/>
              </w:rPr>
              <w:t>等。</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lang w:bidi="lo-LA"/>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7</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bidi="lo-LA"/>
              </w:rPr>
            </w:pPr>
            <w:r>
              <w:rPr>
                <w:rFonts w:hint="eastAsia" w:ascii="宋体" w:hAnsi="宋体" w:eastAsia="宋体" w:cs="宋体"/>
                <w:sz w:val="21"/>
                <w:szCs w:val="21"/>
                <w:lang w:eastAsia="zh-CN" w:bidi="lo-LA"/>
              </w:rPr>
              <w:t>应</w:t>
            </w:r>
            <w:r>
              <w:rPr>
                <w:rFonts w:hint="eastAsia" w:ascii="宋体" w:hAnsi="宋体" w:eastAsia="宋体" w:cs="宋体"/>
                <w:sz w:val="21"/>
                <w:szCs w:val="21"/>
                <w:lang w:bidi="lo-LA"/>
              </w:rPr>
              <w:t>采用基于TCP/IP协议的以太网方式的信息传输</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lang w:bidi="lo-LA"/>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8</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bidi="lo-LA"/>
              </w:rPr>
              <w:t>重量≤140g</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lang w:bidi="lo-LA"/>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9</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bidi="lo-LA"/>
              </w:rPr>
              <w:t>具有电池防反装安全设计</w:t>
            </w:r>
            <w:r>
              <w:rPr>
                <w:rFonts w:hint="eastAsia" w:ascii="宋体" w:hAnsi="宋体" w:eastAsia="宋体" w:cs="宋体"/>
                <w:sz w:val="21"/>
                <w:szCs w:val="21"/>
                <w:lang w:eastAsia="zh-CN" w:bidi="lo-LA"/>
              </w:rPr>
              <w:t>。</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lang w:bidi="lo-LA"/>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10</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bidi="lo-LA"/>
              </w:rPr>
            </w:pPr>
            <w:r>
              <w:rPr>
                <w:rFonts w:hint="eastAsia" w:ascii="宋体" w:hAnsi="宋体" w:eastAsia="宋体" w:cs="宋体"/>
                <w:sz w:val="21"/>
                <w:szCs w:val="21"/>
                <w:lang w:eastAsia="zh-CN" w:bidi="lo-LA"/>
              </w:rPr>
              <w:t>根据医院要求，负责科室内网络布线。</w:t>
            </w:r>
          </w:p>
        </w:tc>
      </w:tr>
      <w:tr>
        <w:tblPrEx>
          <w:tblCellMar>
            <w:top w:w="0" w:type="dxa"/>
            <w:left w:w="108" w:type="dxa"/>
            <w:bottom w:w="0" w:type="dxa"/>
            <w:right w:w="108" w:type="dxa"/>
          </w:tblCellMar>
        </w:tblPrEx>
        <w:trPr>
          <w:trHeight w:val="401" w:hRule="atLeast"/>
        </w:trPr>
        <w:tc>
          <w:tcPr>
            <w:tcW w:w="73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lang w:val="en-US" w:eastAsia="zh-CN" w:bidi="lo-LA"/>
              </w:rPr>
            </w:pPr>
          </w:p>
        </w:tc>
        <w:tc>
          <w:tcPr>
            <w:tcW w:w="805"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11</w:t>
            </w:r>
          </w:p>
        </w:tc>
        <w:tc>
          <w:tcPr>
            <w:tcW w:w="6962"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val="en-US" w:eastAsia="zh-CN" w:bidi="lo-LA"/>
              </w:rPr>
            </w:pPr>
            <w:r>
              <w:rPr>
                <w:rFonts w:hint="eastAsia" w:ascii="宋体" w:hAnsi="宋体" w:eastAsia="宋体" w:cs="宋体"/>
                <w:sz w:val="21"/>
                <w:szCs w:val="21"/>
                <w:lang w:eastAsia="zh-CN" w:bidi="lo-LA"/>
              </w:rPr>
              <w:t>要求能与在用的迈瑞中心监护系统组网配套使用。</w:t>
            </w:r>
          </w:p>
        </w:tc>
      </w:tr>
      <w:tr>
        <w:tblPrEx>
          <w:tblCellMar>
            <w:top w:w="0" w:type="dxa"/>
            <w:left w:w="108" w:type="dxa"/>
            <w:bottom w:w="0" w:type="dxa"/>
            <w:right w:w="108" w:type="dxa"/>
          </w:tblCellMar>
        </w:tblPrEx>
        <w:trPr>
          <w:trHeight w:val="365" w:hRule="atLeast"/>
        </w:trPr>
        <w:tc>
          <w:tcPr>
            <w:tcW w:w="8503"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FF0000"/>
                <w:sz w:val="21"/>
                <w:szCs w:val="21"/>
                <w:highlight w:val="none"/>
              </w:rPr>
            </w:pPr>
            <w:r>
              <w:rPr>
                <w:rFonts w:hint="eastAsia" w:ascii="宋体" w:hAnsi="宋体" w:eastAsia="宋体" w:cs="宋体"/>
                <w:color w:val="FF0000"/>
                <w:sz w:val="21"/>
                <w:szCs w:val="21"/>
                <w:highlight w:val="none"/>
              </w:rPr>
              <w:t>注：</w:t>
            </w:r>
            <w:r>
              <w:rPr>
                <w:rFonts w:hint="eastAsia" w:ascii="宋体" w:hAnsi="宋体" w:cs="宋体"/>
                <w:color w:val="FF0000"/>
                <w:sz w:val="21"/>
                <w:szCs w:val="21"/>
                <w:highlight w:val="none"/>
                <w:lang w:val="en-US" w:eastAsia="zh-CN"/>
              </w:rPr>
              <w:t>1.</w:t>
            </w:r>
            <w:r>
              <w:rPr>
                <w:rFonts w:hint="eastAsia" w:ascii="宋体" w:hAnsi="宋体" w:eastAsia="宋体" w:cs="宋体"/>
                <w:color w:val="FF0000"/>
                <w:sz w:val="21"/>
                <w:szCs w:val="21"/>
                <w:highlight w:val="none"/>
              </w:rPr>
              <w:t>“参数性质”标“*”表示此参数为主要技术参数</w:t>
            </w:r>
            <w:r>
              <w:rPr>
                <w:rFonts w:hint="eastAsia" w:ascii="宋体" w:hAnsi="宋体" w:eastAsia="宋体" w:cs="宋体"/>
                <w:color w:val="FF0000"/>
                <w:sz w:val="21"/>
                <w:szCs w:val="21"/>
                <w:highlight w:val="none"/>
                <w:lang w:eastAsia="zh-CN"/>
              </w:rPr>
              <w:t>，不满足任意</w:t>
            </w:r>
            <w:r>
              <w:rPr>
                <w:rFonts w:hint="eastAsia" w:ascii="宋体" w:hAnsi="宋体" w:eastAsia="宋体" w:cs="宋体"/>
                <w:color w:val="FF0000"/>
                <w:sz w:val="21"/>
                <w:szCs w:val="21"/>
                <w:highlight w:val="none"/>
                <w:lang w:val="en-US" w:eastAsia="zh-CN"/>
              </w:rPr>
              <w:t>1</w:t>
            </w:r>
            <w:r>
              <w:rPr>
                <w:rFonts w:hint="eastAsia" w:ascii="宋体" w:hAnsi="宋体" w:eastAsia="宋体" w:cs="宋体"/>
                <w:color w:val="FF0000"/>
                <w:sz w:val="21"/>
                <w:szCs w:val="21"/>
                <w:highlight w:val="none"/>
                <w:lang w:eastAsia="zh-CN"/>
              </w:rPr>
              <w:t>条即取消投标资格</w:t>
            </w:r>
            <w:r>
              <w:rPr>
                <w:rFonts w:hint="eastAsia" w:ascii="宋体" w:hAnsi="宋体" w:eastAsia="宋体" w:cs="宋体"/>
                <w:color w:val="FF0000"/>
                <w:sz w:val="21"/>
                <w:szCs w:val="21"/>
                <w:highlight w:val="none"/>
              </w:rPr>
              <w:t>。</w:t>
            </w:r>
          </w:p>
          <w:p>
            <w:pPr>
              <w:spacing w:line="240" w:lineRule="auto"/>
              <w:jc w:val="left"/>
              <w:rPr>
                <w:rFonts w:hint="eastAsia" w:ascii="宋体" w:hAnsi="宋体" w:eastAsia="宋体" w:cs="宋体"/>
                <w:sz w:val="21"/>
                <w:szCs w:val="21"/>
                <w:lang w:bidi="lo-LA"/>
              </w:rPr>
            </w:pPr>
            <w:r>
              <w:rPr>
                <w:rFonts w:hint="eastAsia" w:ascii="宋体" w:hAnsi="宋体" w:cs="宋体"/>
                <w:color w:val="FF0000"/>
                <w:sz w:val="21"/>
                <w:szCs w:val="21"/>
                <w:highlight w:val="none"/>
                <w:lang w:val="en-US" w:eastAsia="zh-CN"/>
              </w:rPr>
              <w:t>2.非主要技术参数，</w:t>
            </w:r>
            <w:r>
              <w:rPr>
                <w:rFonts w:hint="eastAsia" w:ascii="宋体" w:hAnsi="宋体" w:eastAsia="宋体" w:cs="宋体"/>
                <w:color w:val="FF0000"/>
                <w:sz w:val="21"/>
                <w:szCs w:val="21"/>
                <w:highlight w:val="none"/>
              </w:rPr>
              <w:t>≥</w:t>
            </w:r>
            <w:r>
              <w:rPr>
                <w:rFonts w:hint="eastAsia" w:ascii="宋体" w:hAnsi="宋体" w:cs="宋体"/>
                <w:color w:val="FF0000"/>
                <w:sz w:val="21"/>
                <w:szCs w:val="21"/>
                <w:highlight w:val="none"/>
                <w:lang w:val="en-US" w:eastAsia="zh-CN"/>
              </w:rPr>
              <w:t>3条不满足即取消投标资格</w:t>
            </w:r>
            <w:r>
              <w:rPr>
                <w:rFonts w:hint="eastAsia" w:ascii="宋体" w:hAnsi="宋体" w:eastAsia="宋体" w:cs="宋体"/>
                <w:color w:val="FF0000"/>
                <w:sz w:val="21"/>
                <w:szCs w:val="21"/>
                <w:highlight w:val="none"/>
              </w:rPr>
              <w:t>。</w:t>
            </w:r>
          </w:p>
        </w:tc>
      </w:tr>
    </w:tbl>
    <w:p>
      <w:pPr>
        <w:spacing w:line="360" w:lineRule="auto"/>
        <w:rPr>
          <w:rFonts w:hint="eastAsia" w:asciiTheme="minorEastAsia" w:hAnsiTheme="minorEastAsia"/>
          <w:b/>
          <w:bCs/>
          <w:sz w:val="24"/>
          <w:szCs w:val="24"/>
        </w:rPr>
      </w:pPr>
    </w:p>
    <w:p>
      <w:pPr>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三、供应商资质资格要求</w:t>
      </w:r>
    </w:p>
    <w:p>
      <w:pPr>
        <w:spacing w:line="360" w:lineRule="auto"/>
        <w:ind w:firstLine="440" w:firstLineChars="200"/>
        <w:rPr>
          <w:rFonts w:ascii="宋体" w:hAnsi="宋体"/>
          <w:sz w:val="22"/>
          <w:szCs w:val="22"/>
        </w:rPr>
      </w:pPr>
      <w:r>
        <w:rPr>
          <w:rFonts w:hint="eastAsia" w:ascii="宋体" w:hAnsi="宋体"/>
          <w:sz w:val="22"/>
          <w:szCs w:val="22"/>
        </w:rPr>
        <w:t>1.投标人</w:t>
      </w:r>
      <w:r>
        <w:rPr>
          <w:rFonts w:hint="eastAsia" w:ascii="宋体" w:hAnsi="宋体"/>
          <w:color w:val="000000"/>
          <w:sz w:val="22"/>
          <w:szCs w:val="22"/>
        </w:rPr>
        <w:t>须</w:t>
      </w:r>
      <w:r>
        <w:rPr>
          <w:rFonts w:hint="eastAsia" w:ascii="宋体" w:hAnsi="宋体"/>
          <w:sz w:val="22"/>
          <w:szCs w:val="22"/>
        </w:rPr>
        <w:t>提供</w:t>
      </w:r>
      <w:r>
        <w:rPr>
          <w:rFonts w:hint="eastAsia" w:ascii="宋体" w:hAnsi="宋体"/>
          <w:color w:val="000000"/>
          <w:sz w:val="22"/>
          <w:szCs w:val="22"/>
        </w:rPr>
        <w:t>投标</w:t>
      </w:r>
      <w:r>
        <w:rPr>
          <w:rFonts w:hint="eastAsia" w:ascii="宋体" w:hAnsi="宋体"/>
          <w:sz w:val="22"/>
          <w:szCs w:val="22"/>
        </w:rPr>
        <w:t>产品的中华人民共和国医疗器械注册证或备案凭证</w:t>
      </w:r>
      <w:r>
        <w:rPr>
          <w:rFonts w:hint="eastAsia" w:ascii="宋体" w:hAnsi="宋体"/>
          <w:sz w:val="22"/>
          <w:szCs w:val="22"/>
          <w:lang w:eastAsia="zh-CN"/>
        </w:rPr>
        <w:t>，且在有效期内</w:t>
      </w:r>
      <w:r>
        <w:rPr>
          <w:rFonts w:hint="eastAsia" w:ascii="宋体" w:hAnsi="宋体"/>
          <w:sz w:val="22"/>
          <w:szCs w:val="22"/>
        </w:rPr>
        <w:t>。</w:t>
      </w:r>
    </w:p>
    <w:p>
      <w:pPr>
        <w:spacing w:line="360" w:lineRule="auto"/>
        <w:ind w:firstLine="440" w:firstLineChars="200"/>
        <w:rPr>
          <w:rFonts w:ascii="宋体" w:hAnsi="宋体"/>
          <w:color w:val="000000"/>
          <w:sz w:val="22"/>
          <w:szCs w:val="22"/>
        </w:rPr>
      </w:pPr>
      <w:r>
        <w:rPr>
          <w:rFonts w:hint="eastAsia" w:ascii="宋体" w:hAnsi="宋体"/>
          <w:sz w:val="22"/>
          <w:szCs w:val="22"/>
        </w:rPr>
        <w:t>2.投标人</w:t>
      </w:r>
      <w:r>
        <w:rPr>
          <w:rFonts w:hint="eastAsia" w:ascii="宋体" w:hAnsi="宋体"/>
          <w:color w:val="000000"/>
          <w:sz w:val="22"/>
          <w:szCs w:val="22"/>
        </w:rPr>
        <w:t>须提供与投标产品相符合的医疗器械经营许可证或备案凭证</w:t>
      </w:r>
      <w:r>
        <w:rPr>
          <w:rFonts w:hint="eastAsia" w:ascii="宋体" w:hAnsi="宋体"/>
          <w:color w:val="000000"/>
          <w:sz w:val="22"/>
          <w:szCs w:val="22"/>
          <w:lang w:eastAsia="zh-CN"/>
        </w:rPr>
        <w:t>，且在有效期内</w:t>
      </w:r>
      <w:r>
        <w:rPr>
          <w:rFonts w:hint="eastAsia" w:ascii="宋体" w:hAnsi="宋体"/>
          <w:color w:val="000000"/>
          <w:sz w:val="22"/>
          <w:szCs w:val="22"/>
        </w:rPr>
        <w:t>。</w:t>
      </w:r>
    </w:p>
    <w:p>
      <w:pPr>
        <w:spacing w:line="360" w:lineRule="auto"/>
        <w:ind w:firstLine="482" w:firstLineChars="200"/>
        <w:rPr>
          <w:rFonts w:hint="eastAsia" w:asciiTheme="minorEastAsia" w:hAnsiTheme="minorEastAsia"/>
          <w:b/>
          <w:bCs/>
          <w:sz w:val="24"/>
          <w:szCs w:val="24"/>
        </w:rPr>
      </w:pPr>
    </w:p>
    <w:p>
      <w:pPr>
        <w:spacing w:line="360" w:lineRule="auto"/>
        <w:ind w:firstLine="482" w:firstLineChars="200"/>
        <w:rPr>
          <w:rFonts w:hint="eastAsia" w:asciiTheme="minorEastAsia" w:hAnsiTheme="minorEastAsia"/>
          <w:b/>
          <w:bCs/>
          <w:sz w:val="24"/>
          <w:szCs w:val="24"/>
        </w:rPr>
      </w:pPr>
      <w:r>
        <w:rPr>
          <w:rFonts w:hint="eastAsia" w:asciiTheme="minorEastAsia" w:hAnsiTheme="minorEastAsia"/>
          <w:b/>
          <w:bCs/>
          <w:sz w:val="24"/>
          <w:szCs w:val="24"/>
        </w:rPr>
        <w:t>四、评标方法及评标细则要求</w:t>
      </w:r>
    </w:p>
    <w:p>
      <w:pPr>
        <w:spacing w:line="360" w:lineRule="auto"/>
        <w:ind w:firstLine="420" w:firstLineChars="200"/>
        <w:rPr>
          <w:rFonts w:hint="eastAsia" w:ascii="宋体" w:hAnsi="宋体" w:cs="宋体"/>
          <w:b w:val="0"/>
          <w:bCs/>
          <w:kern w:val="0"/>
          <w:sz w:val="21"/>
          <w:szCs w:val="21"/>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w:t>
            </w:r>
            <w:r>
              <w:rPr>
                <w:rFonts w:hint="eastAsia" w:ascii="宋体" w:hAnsi="宋体" w:eastAsia="宋体" w:cs="宋体"/>
                <w:sz w:val="21"/>
                <w:szCs w:val="21"/>
                <w:lang w:val="en-US" w:eastAsia="zh-CN"/>
              </w:rPr>
              <w:t>2020</w:t>
            </w:r>
            <w:bookmarkStart w:id="1" w:name="_GoBack"/>
            <w:bookmarkEnd w:id="1"/>
            <w:r>
              <w:rPr>
                <w:rFonts w:hint="eastAsia" w:ascii="宋体" w:hAnsi="宋体" w:eastAsia="宋体" w:cs="宋体"/>
                <w:sz w:val="21"/>
                <w:szCs w:val="21"/>
              </w:rPr>
              <w:t>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Style w:val="2"/>
        <w:rPr>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黑名单记录内容：投标厂家名称、法人名称（身份证号）、经办人姓名（身份证号）、联系电话等相关信息。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3"/>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2"/>
        <w:rPr>
          <w:rFonts w:hint="eastAsia"/>
          <w:color w:val="000000"/>
        </w:rPr>
      </w:pPr>
    </w:p>
    <w:p>
      <w:pPr>
        <w:pStyle w:val="2"/>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十六、彩页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2336;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0288;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3360;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1312;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59264;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j+DIfYAAAADQEAAA8AAAAAAAAAAQAgAAAAIgAAAGRycy9kb3du&#10;cmV2LnhtbFBLAQIUABQAAAAIAIdO4kDiNMhL/wEAACkEAAAOAAAAAAAAAAEAIAAAACcBAABkcnMv&#10;ZTJvRG9jLnhtbFBLBQYAAAAABgAGAFkBAACYBQ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4C1D05"/>
    <w:rsid w:val="027E2104"/>
    <w:rsid w:val="030D75C3"/>
    <w:rsid w:val="036A0F34"/>
    <w:rsid w:val="04D74F47"/>
    <w:rsid w:val="069429D0"/>
    <w:rsid w:val="069D5FAD"/>
    <w:rsid w:val="08DB2790"/>
    <w:rsid w:val="0B926A4B"/>
    <w:rsid w:val="0E280BA1"/>
    <w:rsid w:val="10D51590"/>
    <w:rsid w:val="111B7AAD"/>
    <w:rsid w:val="1368671D"/>
    <w:rsid w:val="141960BC"/>
    <w:rsid w:val="14511D5D"/>
    <w:rsid w:val="14A30191"/>
    <w:rsid w:val="14BB40C9"/>
    <w:rsid w:val="17AF1E4E"/>
    <w:rsid w:val="18803BFB"/>
    <w:rsid w:val="1B031D68"/>
    <w:rsid w:val="225B4788"/>
    <w:rsid w:val="22A03B30"/>
    <w:rsid w:val="23C451C6"/>
    <w:rsid w:val="26283EB2"/>
    <w:rsid w:val="26E23DC6"/>
    <w:rsid w:val="29111AF1"/>
    <w:rsid w:val="295579BA"/>
    <w:rsid w:val="2C4241C8"/>
    <w:rsid w:val="2F2D32EB"/>
    <w:rsid w:val="2F534F90"/>
    <w:rsid w:val="2FE43113"/>
    <w:rsid w:val="30185EAC"/>
    <w:rsid w:val="311B3E30"/>
    <w:rsid w:val="31BC642E"/>
    <w:rsid w:val="31EE4882"/>
    <w:rsid w:val="333F7051"/>
    <w:rsid w:val="33F96FD6"/>
    <w:rsid w:val="39EF7A7C"/>
    <w:rsid w:val="3E843922"/>
    <w:rsid w:val="3FB454E1"/>
    <w:rsid w:val="43A623BD"/>
    <w:rsid w:val="43E1752F"/>
    <w:rsid w:val="475206C1"/>
    <w:rsid w:val="478C50C3"/>
    <w:rsid w:val="4803283D"/>
    <w:rsid w:val="4B645A8C"/>
    <w:rsid w:val="4B8219EB"/>
    <w:rsid w:val="4C0130D0"/>
    <w:rsid w:val="4C2B118A"/>
    <w:rsid w:val="4C873D0A"/>
    <w:rsid w:val="4DE61182"/>
    <w:rsid w:val="4F4C28E7"/>
    <w:rsid w:val="51827267"/>
    <w:rsid w:val="51F278FD"/>
    <w:rsid w:val="52F97BD0"/>
    <w:rsid w:val="537C1673"/>
    <w:rsid w:val="568E4089"/>
    <w:rsid w:val="56B63A7F"/>
    <w:rsid w:val="56D4087D"/>
    <w:rsid w:val="57224BDA"/>
    <w:rsid w:val="5B6E25BC"/>
    <w:rsid w:val="5B7A51AB"/>
    <w:rsid w:val="5B7C6170"/>
    <w:rsid w:val="5CF27DD3"/>
    <w:rsid w:val="5F334CEB"/>
    <w:rsid w:val="60541B24"/>
    <w:rsid w:val="64BB1E86"/>
    <w:rsid w:val="65155FC3"/>
    <w:rsid w:val="683C6BCF"/>
    <w:rsid w:val="69BC0519"/>
    <w:rsid w:val="6A8F035A"/>
    <w:rsid w:val="6A933DD4"/>
    <w:rsid w:val="6D320A99"/>
    <w:rsid w:val="6D901E35"/>
    <w:rsid w:val="6F6367E4"/>
    <w:rsid w:val="70B8096D"/>
    <w:rsid w:val="731E024A"/>
    <w:rsid w:val="740D6224"/>
    <w:rsid w:val="75CB3919"/>
    <w:rsid w:val="76437B2F"/>
    <w:rsid w:val="77246C60"/>
    <w:rsid w:val="77E46B25"/>
    <w:rsid w:val="791B65A9"/>
    <w:rsid w:val="7D7F5F4A"/>
    <w:rsid w:val="7E2D6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2021-03-30T07:25:21Z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2C7B243F8198498E8DF004BDACE9439A</vt:lpwstr>
  </property>
</Properties>
</file>