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eastAsia"/>
          <w:b/>
          <w:bCs/>
          <w:sz w:val="28"/>
          <w:szCs w:val="28"/>
          <w:lang w:val="en-US" w:eastAsia="zh-CN"/>
        </w:rPr>
      </w:pPr>
      <w:r>
        <w:rPr>
          <w:rFonts w:hint="eastAsia" w:ascii="Tahoma"/>
          <w:b/>
          <w:i w:val="0"/>
          <w:color w:val="333333"/>
          <w:spacing w:val="0"/>
          <w:sz w:val="30"/>
          <w:szCs w:val="30"/>
          <w:lang w:eastAsia="zh-CN"/>
        </w:rPr>
        <w:t>毒麻药品智能柜</w:t>
      </w:r>
    </w:p>
    <w:p>
      <w:pPr>
        <w:numPr>
          <w:ilvl w:val="0"/>
          <w:numId w:val="0"/>
        </w:numPr>
        <w:jc w:val="center"/>
        <w:rPr>
          <w:rFonts w:hint="default"/>
          <w:b/>
          <w:bCs/>
          <w:sz w:val="28"/>
          <w:szCs w:val="28"/>
          <w:lang w:val="en-US" w:eastAsia="zh-CN"/>
        </w:rPr>
      </w:pPr>
      <w:r>
        <w:rPr>
          <w:rFonts w:hint="eastAsia"/>
          <w:b/>
          <w:bCs/>
          <w:sz w:val="28"/>
          <w:szCs w:val="28"/>
          <w:lang w:val="en-US" w:eastAsia="zh-CN"/>
        </w:rPr>
        <w:t>2021年4月1日</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1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1300"/>
        <w:gridCol w:w="5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00" w:type="dxa"/>
            <w:vAlign w:val="center"/>
          </w:tcPr>
          <w:p>
            <w:pPr>
              <w:keepNext w:val="0"/>
              <w:keepLines w:val="0"/>
              <w:pageBreakBefore w:val="0"/>
              <w:widowControl/>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项目</w:t>
            </w:r>
            <w:r>
              <w:rPr>
                <w:rFonts w:hint="eastAsia" w:ascii="宋体" w:hAnsi="宋体" w:eastAsia="宋体" w:cs="宋体"/>
                <w:sz w:val="24"/>
                <w:szCs w:val="24"/>
              </w:rPr>
              <w:t>名称</w:t>
            </w:r>
          </w:p>
        </w:tc>
        <w:tc>
          <w:tcPr>
            <w:tcW w:w="5925" w:type="dxa"/>
            <w:vAlign w:val="center"/>
          </w:tcPr>
          <w:p>
            <w:pPr>
              <w:keepNext w:val="0"/>
              <w:keepLines w:val="0"/>
              <w:pageBreakBefore w:val="0"/>
              <w:widowControl/>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eastAsia="zh-CN"/>
              </w:rPr>
            </w:pPr>
            <w:r>
              <w:rPr>
                <w:rFonts w:hint="eastAsia" w:ascii="Tahoma"/>
                <w:b w:val="0"/>
                <w:i w:val="0"/>
                <w:color w:val="333333"/>
                <w:spacing w:val="0"/>
                <w:sz w:val="24"/>
                <w:szCs w:val="24"/>
                <w:lang w:eastAsia="zh-CN"/>
              </w:rPr>
              <w:t>毒麻药品智能柜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eastAsia="zh-CN"/>
              </w:rPr>
            </w:pPr>
            <w:r>
              <w:rPr>
                <w:rFonts w:hint="eastAsia" w:ascii="宋体" w:cs="宋体"/>
                <w:sz w:val="24"/>
                <w:szCs w:val="24"/>
                <w:lang w:val="en-US" w:eastAsia="zh-CN"/>
              </w:rPr>
              <w:t>2</w:t>
            </w:r>
          </w:p>
        </w:tc>
        <w:tc>
          <w:tcPr>
            <w:tcW w:w="1300" w:type="dxa"/>
            <w:vAlign w:val="center"/>
          </w:tcPr>
          <w:p>
            <w:pPr>
              <w:keepNext w:val="0"/>
              <w:keepLines w:val="0"/>
              <w:pageBreakBefore w:val="0"/>
              <w:widowControl/>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ascii="Tahoma"/>
                <w:b w:val="0"/>
                <w:i w:val="0"/>
                <w:color w:val="333333"/>
                <w:spacing w:val="0"/>
                <w:sz w:val="24"/>
                <w:szCs w:val="24"/>
              </w:rPr>
              <w:t>预算金额</w:t>
            </w:r>
          </w:p>
        </w:tc>
        <w:tc>
          <w:tcPr>
            <w:tcW w:w="5925" w:type="dxa"/>
            <w:vAlign w:val="center"/>
          </w:tcPr>
          <w:p>
            <w:pPr>
              <w:keepNext w:val="0"/>
              <w:keepLines w:val="0"/>
              <w:pageBreakBefore w:val="0"/>
              <w:widowControl/>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rPr>
            </w:pPr>
            <w:r>
              <w:rPr>
                <w:rFonts w:hint="eastAsia" w:ascii="Tahoma"/>
                <w:b w:val="0"/>
                <w:i w:val="0"/>
                <w:color w:val="333333"/>
                <w:spacing w:val="0"/>
                <w:sz w:val="24"/>
                <w:szCs w:val="24"/>
                <w:lang w:val="en-US" w:eastAsia="zh-CN"/>
              </w:rPr>
              <w:t>240000</w:t>
            </w:r>
            <w:r>
              <w:rPr>
                <w:rFonts w:ascii="Tahoma"/>
                <w:b w:val="0"/>
                <w:i w:val="0"/>
                <w:color w:val="333333"/>
                <w:spacing w:val="0"/>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rFonts w:hint="default" w:ascii="宋体" w:cs="宋体"/>
                <w:sz w:val="24"/>
                <w:szCs w:val="24"/>
                <w:lang w:val="en-US" w:eastAsia="zh-CN"/>
              </w:rPr>
            </w:pPr>
            <w:r>
              <w:rPr>
                <w:rFonts w:hint="eastAsia" w:ascii="宋体" w:cs="宋体"/>
                <w:sz w:val="24"/>
                <w:szCs w:val="24"/>
                <w:lang w:val="en-US" w:eastAsia="zh-CN"/>
              </w:rPr>
              <w:t>3</w:t>
            </w:r>
          </w:p>
        </w:tc>
        <w:tc>
          <w:tcPr>
            <w:tcW w:w="1300" w:type="dxa"/>
            <w:vAlign w:val="center"/>
          </w:tcPr>
          <w:p>
            <w:pPr>
              <w:keepNext w:val="0"/>
              <w:keepLines w:val="0"/>
              <w:pageBreakBefore w:val="0"/>
              <w:widowControl/>
              <w:kinsoku/>
              <w:wordWrap/>
              <w:overflowPunct/>
              <w:topLinePunct w:val="0"/>
              <w:autoSpaceDE w:val="0"/>
              <w:autoSpaceDN w:val="0"/>
              <w:bidi w:val="0"/>
              <w:adjustRightInd/>
              <w:snapToGrid/>
              <w:spacing w:line="360" w:lineRule="auto"/>
              <w:textAlignment w:val="auto"/>
              <w:rPr>
                <w:rFonts w:hint="eastAsia" w:ascii="Tahoma" w:eastAsia="宋体"/>
                <w:b w:val="0"/>
                <w:i w:val="0"/>
                <w:color w:val="333333"/>
                <w:spacing w:val="0"/>
                <w:sz w:val="24"/>
                <w:szCs w:val="24"/>
                <w:lang w:val="en-US" w:eastAsia="zh-CN"/>
              </w:rPr>
            </w:pPr>
            <w:r>
              <w:rPr>
                <w:rFonts w:hint="eastAsia" w:ascii="Tahoma"/>
                <w:b w:val="0"/>
                <w:i w:val="0"/>
                <w:color w:val="333333"/>
                <w:spacing w:val="0"/>
                <w:sz w:val="24"/>
                <w:szCs w:val="24"/>
                <w:lang w:val="en-US" w:eastAsia="zh-CN"/>
              </w:rPr>
              <w:t>数量</w:t>
            </w:r>
          </w:p>
        </w:tc>
        <w:tc>
          <w:tcPr>
            <w:tcW w:w="5925" w:type="dxa"/>
            <w:vAlign w:val="center"/>
          </w:tcPr>
          <w:p>
            <w:pPr>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ahoma"/>
                <w:b w:val="0"/>
                <w:i w:val="0"/>
                <w:color w:val="333333"/>
                <w:spacing w:val="0"/>
                <w:sz w:val="24"/>
                <w:szCs w:val="24"/>
                <w:lang w:val="en-US" w:eastAsia="zh-CN"/>
              </w:rPr>
            </w:pPr>
            <w:r>
              <w:rPr>
                <w:rFonts w:hint="eastAsia" w:ascii="Tahoma"/>
                <w:b w:val="0"/>
                <w:i w:val="0"/>
                <w:color w:val="333333"/>
                <w:spacing w:val="0"/>
                <w:sz w:val="24"/>
                <w:szCs w:val="24"/>
                <w:lang w:val="en-US" w:eastAsia="zh-CN"/>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lang w:eastAsia="zh-CN"/>
              </w:rPr>
            </w:pPr>
            <w:r>
              <w:rPr>
                <w:rFonts w:hint="eastAsia" w:ascii="宋体" w:cs="宋体"/>
                <w:sz w:val="24"/>
                <w:szCs w:val="24"/>
                <w:lang w:val="en-US" w:eastAsia="zh-CN"/>
              </w:rPr>
              <w:t>4</w:t>
            </w:r>
          </w:p>
        </w:tc>
        <w:tc>
          <w:tcPr>
            <w:tcW w:w="1300" w:type="dxa"/>
            <w:vAlign w:val="center"/>
          </w:tcPr>
          <w:p>
            <w:pPr>
              <w:keepNext w:val="0"/>
              <w:keepLines w:val="0"/>
              <w:pageBreakBefore w:val="0"/>
              <w:widowControl/>
              <w:kinsoku/>
              <w:wordWrap/>
              <w:overflowPunct/>
              <w:topLinePunct w:val="0"/>
              <w:autoSpaceDE w:val="0"/>
              <w:autoSpaceDN w:val="0"/>
              <w:bidi w:val="0"/>
              <w:adjustRightInd/>
              <w:snapToGrid/>
              <w:spacing w:line="360" w:lineRule="auto"/>
              <w:textAlignment w:val="auto"/>
              <w:rPr>
                <w:rFonts w:hint="eastAsia" w:ascii="Tahoma" w:hAnsi="宋体" w:eastAsia="宋体" w:cs="宋体"/>
                <w:b w:val="0"/>
                <w:i w:val="0"/>
                <w:color w:val="333333"/>
                <w:spacing w:val="0"/>
                <w:sz w:val="24"/>
                <w:szCs w:val="24"/>
              </w:rPr>
            </w:pPr>
            <w:r>
              <w:rPr>
                <w:rFonts w:hint="eastAsia" w:ascii="Tahoma"/>
                <w:b w:val="0"/>
                <w:i w:val="0"/>
                <w:color w:val="333333"/>
                <w:spacing w:val="0"/>
                <w:sz w:val="24"/>
                <w:szCs w:val="24"/>
                <w:lang w:val="en-US" w:eastAsia="zh-CN"/>
              </w:rPr>
              <w:t>交付使用</w:t>
            </w:r>
            <w:r>
              <w:rPr>
                <w:rFonts w:ascii="Tahoma"/>
                <w:b w:val="0"/>
                <w:i w:val="0"/>
                <w:color w:val="333333"/>
                <w:spacing w:val="0"/>
                <w:sz w:val="24"/>
                <w:szCs w:val="24"/>
              </w:rPr>
              <w:t>时间</w:t>
            </w:r>
          </w:p>
        </w:tc>
        <w:tc>
          <w:tcPr>
            <w:tcW w:w="5925" w:type="dxa"/>
            <w:vAlign w:val="center"/>
          </w:tcPr>
          <w:p>
            <w:pPr>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ahoma" w:hAnsi="宋体" w:eastAsia="宋体" w:cs="宋体"/>
                <w:b w:val="0"/>
                <w:i w:val="0"/>
                <w:color w:val="333333"/>
                <w:spacing w:val="0"/>
                <w:sz w:val="24"/>
                <w:szCs w:val="24"/>
                <w:lang w:val="en-US" w:eastAsia="zh-CN"/>
              </w:rPr>
            </w:pPr>
            <w:r>
              <w:rPr>
                <w:rFonts w:hint="eastAsia" w:ascii="Tahoma" w:cs="宋体"/>
                <w:b w:val="0"/>
                <w:i w:val="0"/>
                <w:color w:val="333333"/>
                <w:spacing w:val="0"/>
                <w:sz w:val="24"/>
                <w:szCs w:val="24"/>
                <w:lang w:val="en-US" w:eastAsia="zh-CN"/>
              </w:rPr>
              <w:t>合同签订后7日内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cs="宋体"/>
                <w:sz w:val="24"/>
                <w:szCs w:val="24"/>
                <w:lang w:val="en-US" w:eastAsia="zh-CN"/>
              </w:rPr>
              <w:t>5</w:t>
            </w:r>
          </w:p>
        </w:tc>
        <w:tc>
          <w:tcPr>
            <w:tcW w:w="1300" w:type="dxa"/>
            <w:vAlign w:val="center"/>
          </w:tcPr>
          <w:p>
            <w:pPr>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宋体" w:hAnsi="宋体" w:eastAsia="宋体" w:cs="宋体"/>
                <w:sz w:val="24"/>
                <w:szCs w:val="24"/>
                <w:lang w:val="en-US" w:eastAsia="zh-CN"/>
              </w:rPr>
            </w:pPr>
            <w:r>
              <w:rPr>
                <w:rFonts w:hint="eastAsia" w:ascii="宋体" w:cs="宋体"/>
                <w:sz w:val="24"/>
                <w:szCs w:val="24"/>
                <w:lang w:val="en-US" w:eastAsia="zh-CN"/>
              </w:rPr>
              <w:t>付款方式</w:t>
            </w:r>
          </w:p>
        </w:tc>
        <w:tc>
          <w:tcPr>
            <w:tcW w:w="5925" w:type="dxa"/>
            <w:vAlign w:val="center"/>
          </w:tcPr>
          <w:p>
            <w:pPr>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宋体" w:hAnsi="宋体" w:eastAsia="宋体" w:cs="宋体"/>
                <w:sz w:val="24"/>
                <w:szCs w:val="24"/>
                <w:lang w:val="en-US" w:eastAsia="zh-CN"/>
              </w:rPr>
            </w:pPr>
            <w:r>
              <w:rPr>
                <w:rFonts w:hint="eastAsia" w:ascii="Tahoma"/>
                <w:b w:val="0"/>
                <w:i w:val="0"/>
                <w:color w:val="333333"/>
                <w:spacing w:val="0"/>
                <w:sz w:val="24"/>
                <w:szCs w:val="24"/>
                <w:lang w:val="en-US" w:eastAsia="zh-CN"/>
              </w:rPr>
              <w:t>验收合格后付90%，剩余10%质保期满付清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rFonts w:hint="default" w:ascii="宋体" w:cs="宋体"/>
                <w:sz w:val="24"/>
                <w:szCs w:val="24"/>
                <w:lang w:val="en-US" w:eastAsia="zh-CN"/>
              </w:rPr>
            </w:pPr>
            <w:r>
              <w:rPr>
                <w:rFonts w:hint="eastAsia" w:ascii="宋体" w:cs="宋体"/>
                <w:sz w:val="24"/>
                <w:szCs w:val="24"/>
                <w:lang w:val="en-US" w:eastAsia="zh-CN"/>
              </w:rPr>
              <w:t>6</w:t>
            </w:r>
          </w:p>
        </w:tc>
        <w:tc>
          <w:tcPr>
            <w:tcW w:w="1300" w:type="dxa"/>
            <w:vAlign w:val="center"/>
          </w:tcPr>
          <w:p>
            <w:pPr>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ahoma"/>
                <w:b w:val="0"/>
                <w:i w:val="0"/>
                <w:color w:val="333333"/>
                <w:spacing w:val="0"/>
                <w:sz w:val="24"/>
                <w:szCs w:val="24"/>
                <w:lang w:val="en-US" w:eastAsia="zh-CN"/>
              </w:rPr>
            </w:pPr>
            <w:r>
              <w:rPr>
                <w:rFonts w:hint="eastAsia" w:ascii="Tahoma"/>
                <w:b w:val="0"/>
                <w:i w:val="0"/>
                <w:color w:val="333333"/>
                <w:spacing w:val="0"/>
                <w:sz w:val="24"/>
                <w:szCs w:val="24"/>
                <w:lang w:val="en-US" w:eastAsia="zh-CN"/>
              </w:rPr>
              <w:t>质保期</w:t>
            </w:r>
          </w:p>
        </w:tc>
        <w:tc>
          <w:tcPr>
            <w:tcW w:w="5925" w:type="dxa"/>
            <w:vAlign w:val="center"/>
          </w:tcPr>
          <w:p>
            <w:pPr>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ahoma"/>
                <w:b w:val="0"/>
                <w:i w:val="0"/>
                <w:color w:val="333333"/>
                <w:spacing w:val="0"/>
                <w:sz w:val="24"/>
                <w:szCs w:val="24"/>
                <w:lang w:val="en-US" w:eastAsia="zh-CN"/>
              </w:rPr>
            </w:pPr>
            <w:r>
              <w:rPr>
                <w:rFonts w:hint="eastAsia" w:ascii="Tahoma"/>
                <w:b w:val="0"/>
                <w:i w:val="0"/>
                <w:color w:val="333333"/>
                <w:spacing w:val="0"/>
                <w:sz w:val="24"/>
                <w:szCs w:val="24"/>
                <w:lang w:val="en-US" w:eastAsia="zh-CN"/>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keepNext w:val="0"/>
              <w:keepLines w:val="0"/>
              <w:pageBreakBefore w:val="0"/>
              <w:widowControl/>
              <w:kinsoku/>
              <w:wordWrap/>
              <w:overflowPunct/>
              <w:topLinePunct w:val="0"/>
              <w:autoSpaceDE w:val="0"/>
              <w:autoSpaceDN w:val="0"/>
              <w:bidi w:val="0"/>
              <w:adjustRightInd/>
              <w:snapToGrid/>
              <w:spacing w:line="360" w:lineRule="auto"/>
              <w:jc w:val="center"/>
              <w:textAlignment w:val="auto"/>
              <w:rPr>
                <w:rFonts w:hint="default" w:ascii="宋体" w:cs="宋体"/>
                <w:sz w:val="24"/>
                <w:szCs w:val="24"/>
                <w:lang w:val="en-US" w:eastAsia="zh-CN"/>
              </w:rPr>
            </w:pPr>
            <w:r>
              <w:rPr>
                <w:rFonts w:hint="eastAsia" w:ascii="宋体" w:cs="宋体"/>
                <w:sz w:val="24"/>
                <w:szCs w:val="24"/>
                <w:lang w:val="en-US" w:eastAsia="zh-CN"/>
              </w:rPr>
              <w:t>7</w:t>
            </w:r>
          </w:p>
        </w:tc>
        <w:tc>
          <w:tcPr>
            <w:tcW w:w="1300" w:type="dxa"/>
            <w:vAlign w:val="center"/>
          </w:tcPr>
          <w:p>
            <w:pPr>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ahoma"/>
                <w:b w:val="0"/>
                <w:i w:val="0"/>
                <w:color w:val="333333"/>
                <w:spacing w:val="0"/>
                <w:sz w:val="24"/>
                <w:szCs w:val="24"/>
                <w:lang w:val="en-US" w:eastAsia="zh-CN"/>
              </w:rPr>
            </w:pPr>
            <w:r>
              <w:rPr>
                <w:rFonts w:hint="eastAsia" w:ascii="Tahoma"/>
                <w:b w:val="0"/>
                <w:i w:val="0"/>
                <w:color w:val="333333"/>
                <w:spacing w:val="0"/>
                <w:sz w:val="24"/>
                <w:szCs w:val="24"/>
                <w:lang w:val="en-US" w:eastAsia="zh-CN"/>
              </w:rPr>
              <w:t>资质要求</w:t>
            </w:r>
          </w:p>
        </w:tc>
        <w:tc>
          <w:tcPr>
            <w:tcW w:w="5925" w:type="dxa"/>
            <w:vAlign w:val="center"/>
          </w:tcPr>
          <w:p>
            <w:pPr>
              <w:keepNext w:val="0"/>
              <w:keepLines w:val="0"/>
              <w:pageBreakBefore w:val="0"/>
              <w:widowControl/>
              <w:kinsoku/>
              <w:wordWrap/>
              <w:overflowPunct/>
              <w:topLinePunct w:val="0"/>
              <w:autoSpaceDE w:val="0"/>
              <w:autoSpaceDN w:val="0"/>
              <w:bidi w:val="0"/>
              <w:adjustRightInd/>
              <w:snapToGrid/>
              <w:spacing w:line="360" w:lineRule="auto"/>
              <w:textAlignment w:val="auto"/>
              <w:rPr>
                <w:rFonts w:hint="default" w:ascii="Tahoma"/>
                <w:b w:val="0"/>
                <w:i w:val="0"/>
                <w:color w:val="333333"/>
                <w:spacing w:val="0"/>
                <w:sz w:val="24"/>
                <w:szCs w:val="24"/>
                <w:lang w:val="en-US" w:eastAsia="zh-CN"/>
              </w:rPr>
            </w:pPr>
            <w:r>
              <w:rPr>
                <w:rFonts w:hint="eastAsia" w:ascii="Tahoma"/>
                <w:b w:val="0"/>
                <w:i w:val="0"/>
                <w:color w:val="333333"/>
                <w:spacing w:val="0"/>
                <w:sz w:val="24"/>
                <w:szCs w:val="24"/>
                <w:lang w:val="en-US" w:eastAsia="zh-CN"/>
              </w:rPr>
              <w:t>无</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b/>
          <w:bCs/>
          <w:sz w:val="24"/>
          <w:szCs w:val="24"/>
        </w:rPr>
      </w:pPr>
      <w:r>
        <w:rPr>
          <w:rFonts w:hint="eastAsia" w:hAnsi="宋体"/>
          <w:b/>
          <w:bCs/>
          <w:sz w:val="24"/>
          <w:szCs w:val="24"/>
        </w:rPr>
        <w:t>技术标准与要求：</w:t>
      </w:r>
    </w:p>
    <w:tbl>
      <w:tblPr>
        <w:tblStyle w:val="7"/>
        <w:tblpPr w:leftFromText="180" w:rightFromText="180" w:vertAnchor="text" w:horzAnchor="page" w:tblpXSpec="center" w:tblpY="64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62"/>
        <w:gridCol w:w="726"/>
        <w:gridCol w:w="3712"/>
        <w:gridCol w:w="709"/>
        <w:gridCol w:w="939"/>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87" w:type="dxa"/>
            <w:noWrap w:val="0"/>
            <w:vAlign w:val="center"/>
          </w:tcPr>
          <w:p>
            <w:pPr>
              <w:widowControl/>
              <w:jc w:val="center"/>
              <w:rPr>
                <w:rFonts w:hint="eastAsia" w:ascii="宋体" w:hAnsi="宋体" w:cs="宋体"/>
                <w:b/>
                <w:color w:val="0D203D"/>
                <w:sz w:val="24"/>
              </w:rPr>
            </w:pPr>
            <w:r>
              <w:rPr>
                <w:rFonts w:hint="eastAsia" w:ascii="宋体" w:hAnsi="宋体" w:cs="宋体"/>
                <w:b/>
                <w:color w:val="0D203D"/>
                <w:sz w:val="24"/>
              </w:rPr>
              <w:t>序号</w:t>
            </w:r>
          </w:p>
        </w:tc>
        <w:tc>
          <w:tcPr>
            <w:tcW w:w="1262" w:type="dxa"/>
            <w:noWrap w:val="0"/>
            <w:vAlign w:val="center"/>
          </w:tcPr>
          <w:p>
            <w:pPr>
              <w:widowControl/>
              <w:jc w:val="center"/>
              <w:rPr>
                <w:rFonts w:hint="eastAsia" w:ascii="宋体" w:hAnsi="宋体" w:cs="宋体"/>
                <w:b/>
                <w:sz w:val="24"/>
              </w:rPr>
            </w:pPr>
            <w:r>
              <w:rPr>
                <w:rFonts w:hint="eastAsia" w:ascii="宋体" w:hAnsi="宋体" w:cs="宋体"/>
                <w:b/>
                <w:sz w:val="24"/>
              </w:rPr>
              <w:t>货品名称/品牌</w:t>
            </w:r>
          </w:p>
        </w:tc>
        <w:tc>
          <w:tcPr>
            <w:tcW w:w="726" w:type="dxa"/>
            <w:noWrap w:val="0"/>
            <w:vAlign w:val="center"/>
          </w:tcPr>
          <w:p>
            <w:pPr>
              <w:widowControl/>
              <w:jc w:val="center"/>
              <w:rPr>
                <w:rFonts w:hint="eastAsia" w:ascii="宋体" w:hAnsi="宋体" w:cs="宋体"/>
                <w:b/>
                <w:sz w:val="24"/>
              </w:rPr>
            </w:pPr>
            <w:r>
              <w:rPr>
                <w:rFonts w:hint="eastAsia" w:ascii="宋体" w:hAnsi="宋体" w:cs="宋体"/>
                <w:b/>
                <w:sz w:val="24"/>
              </w:rPr>
              <w:t>单位</w:t>
            </w:r>
          </w:p>
        </w:tc>
        <w:tc>
          <w:tcPr>
            <w:tcW w:w="3712" w:type="dxa"/>
            <w:noWrap w:val="0"/>
            <w:vAlign w:val="center"/>
          </w:tcPr>
          <w:p>
            <w:pPr>
              <w:jc w:val="center"/>
              <w:rPr>
                <w:rFonts w:hint="eastAsia" w:ascii="宋体" w:hAnsi="宋体" w:cs="宋体"/>
                <w:b/>
                <w:sz w:val="24"/>
              </w:rPr>
            </w:pPr>
            <w:r>
              <w:rPr>
                <w:rFonts w:hint="eastAsia" w:ascii="宋体" w:hAnsi="宋体" w:cs="宋体"/>
                <w:b/>
                <w:sz w:val="24"/>
              </w:rPr>
              <w:t>型号及配置/规格</w:t>
            </w:r>
          </w:p>
        </w:tc>
        <w:tc>
          <w:tcPr>
            <w:tcW w:w="709" w:type="dxa"/>
            <w:noWrap w:val="0"/>
            <w:vAlign w:val="center"/>
          </w:tcPr>
          <w:p>
            <w:pPr>
              <w:widowControl/>
              <w:jc w:val="center"/>
              <w:rPr>
                <w:rFonts w:hint="eastAsia" w:ascii="宋体" w:hAnsi="宋体" w:cs="宋体"/>
                <w:b/>
                <w:sz w:val="24"/>
              </w:rPr>
            </w:pPr>
            <w:r>
              <w:rPr>
                <w:rFonts w:hint="eastAsia" w:ascii="宋体" w:hAnsi="宋体" w:cs="宋体"/>
                <w:b/>
                <w:sz w:val="24"/>
              </w:rPr>
              <w:t>数量</w:t>
            </w:r>
          </w:p>
        </w:tc>
        <w:tc>
          <w:tcPr>
            <w:tcW w:w="939" w:type="dxa"/>
            <w:noWrap w:val="0"/>
            <w:vAlign w:val="center"/>
          </w:tcPr>
          <w:p>
            <w:pPr>
              <w:widowControl/>
              <w:jc w:val="center"/>
              <w:rPr>
                <w:rFonts w:hint="eastAsia" w:ascii="宋体" w:hAnsi="宋体" w:cs="宋体"/>
                <w:b/>
                <w:sz w:val="24"/>
              </w:rPr>
            </w:pPr>
            <w:r>
              <w:rPr>
                <w:rFonts w:hint="eastAsia" w:ascii="宋体" w:hAnsi="宋体" w:cs="宋体"/>
                <w:b/>
                <w:sz w:val="24"/>
              </w:rPr>
              <w:t>单价</w:t>
            </w:r>
          </w:p>
        </w:tc>
        <w:tc>
          <w:tcPr>
            <w:tcW w:w="1145" w:type="dxa"/>
            <w:noWrap w:val="0"/>
            <w:vAlign w:val="center"/>
          </w:tcPr>
          <w:p>
            <w:pPr>
              <w:widowControl/>
              <w:jc w:val="center"/>
              <w:rPr>
                <w:rFonts w:hint="eastAsia" w:ascii="宋体" w:hAnsi="宋体" w:cs="宋体"/>
                <w:b/>
                <w:sz w:val="24"/>
              </w:rPr>
            </w:pPr>
            <w:r>
              <w:rPr>
                <w:rFonts w:hint="eastAsia" w:ascii="宋体" w:hAnsi="宋体" w:cs="宋体"/>
                <w:b/>
                <w:sz w:val="24"/>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87" w:type="dxa"/>
            <w:noWrap w:val="0"/>
            <w:vAlign w:val="center"/>
          </w:tcPr>
          <w:p>
            <w:pPr>
              <w:widowControl/>
              <w:jc w:val="center"/>
              <w:rPr>
                <w:rFonts w:hint="eastAsia" w:ascii="宋体" w:hAnsi="宋体" w:cs="宋体"/>
                <w:b/>
                <w:sz w:val="24"/>
              </w:rPr>
            </w:pPr>
            <w:r>
              <w:rPr>
                <w:rFonts w:hint="eastAsia" w:ascii="宋体" w:hAnsi="宋体" w:cs="宋体"/>
                <w:b/>
                <w:sz w:val="24"/>
              </w:rPr>
              <w:t>1</w:t>
            </w:r>
          </w:p>
        </w:tc>
        <w:tc>
          <w:tcPr>
            <w:tcW w:w="1262" w:type="dxa"/>
            <w:noWrap w:val="0"/>
            <w:vAlign w:val="center"/>
          </w:tcPr>
          <w:p>
            <w:pPr>
              <w:jc w:val="center"/>
              <w:rPr>
                <w:rFonts w:hint="eastAsia" w:ascii="宋体" w:hAnsi="宋体" w:cs="宋体"/>
                <w:sz w:val="24"/>
              </w:rPr>
            </w:pPr>
            <w:r>
              <w:rPr>
                <w:rFonts w:hint="eastAsia" w:ascii="宋体" w:hAnsi="宋体" w:cs="宋体"/>
                <w:sz w:val="24"/>
              </w:rPr>
              <w:t>药品智能保险柜</w:t>
            </w:r>
          </w:p>
        </w:tc>
        <w:tc>
          <w:tcPr>
            <w:tcW w:w="726" w:type="dxa"/>
            <w:noWrap w:val="0"/>
            <w:vAlign w:val="center"/>
          </w:tcPr>
          <w:p>
            <w:pPr>
              <w:jc w:val="center"/>
              <w:rPr>
                <w:rFonts w:hint="eastAsia" w:ascii="宋体" w:hAnsi="宋体" w:cs="宋体"/>
                <w:sz w:val="24"/>
              </w:rPr>
            </w:pPr>
            <w:r>
              <w:rPr>
                <w:rFonts w:hint="eastAsia" w:ascii="宋体" w:hAnsi="宋体" w:cs="宋体"/>
                <w:sz w:val="24"/>
              </w:rPr>
              <w:t>个</w:t>
            </w:r>
          </w:p>
        </w:tc>
        <w:tc>
          <w:tcPr>
            <w:tcW w:w="3712" w:type="dxa"/>
            <w:noWrap w:val="0"/>
            <w:vAlign w:val="center"/>
          </w:tcPr>
          <w:p>
            <w:pPr>
              <w:rPr>
                <w:rFonts w:hint="eastAsia" w:ascii="宋体" w:hAnsi="宋体"/>
                <w:sz w:val="24"/>
              </w:rPr>
            </w:pPr>
            <w:r>
              <w:rPr>
                <w:rFonts w:hint="eastAsia" w:ascii="宋体" w:hAnsi="宋体"/>
                <w:sz w:val="24"/>
              </w:rPr>
              <w:t>1.药品智能保险箱</w:t>
            </w:r>
          </w:p>
          <w:p>
            <w:pPr>
              <w:spacing w:line="360" w:lineRule="auto"/>
              <w:rPr>
                <w:rFonts w:ascii="宋体" w:hAnsi="宋体"/>
                <w:bCs/>
                <w:color w:val="000000"/>
                <w:sz w:val="24"/>
              </w:rPr>
            </w:pPr>
            <w:r>
              <w:rPr>
                <w:rFonts w:hint="eastAsia" w:ascii="宋体" w:hAnsi="宋体"/>
                <w:bCs/>
                <w:color w:val="000000"/>
                <w:sz w:val="24"/>
              </w:rPr>
              <w:t>1.1显示屏为电容触摸显示器，显示器≥17寸；</w:t>
            </w:r>
          </w:p>
          <w:p>
            <w:pPr>
              <w:spacing w:line="360" w:lineRule="auto"/>
              <w:rPr>
                <w:rFonts w:hint="eastAsia" w:ascii="宋体" w:hAnsi="宋体"/>
                <w:bCs/>
                <w:color w:val="000000"/>
                <w:sz w:val="24"/>
              </w:rPr>
            </w:pPr>
            <w:r>
              <w:rPr>
                <w:rFonts w:hint="eastAsia" w:ascii="宋体" w:hAnsi="宋体"/>
                <w:bCs/>
                <w:color w:val="000000"/>
                <w:sz w:val="24"/>
              </w:rPr>
              <w:t>1.2配备无线鼠标、无线键盘；</w:t>
            </w:r>
          </w:p>
          <w:p>
            <w:pPr>
              <w:spacing w:line="360" w:lineRule="auto"/>
              <w:rPr>
                <w:rFonts w:hint="eastAsia" w:ascii="宋体" w:hAnsi="宋体"/>
                <w:bCs/>
                <w:color w:val="000000"/>
                <w:sz w:val="24"/>
              </w:rPr>
            </w:pPr>
            <w:r>
              <w:rPr>
                <w:rFonts w:hint="eastAsia" w:ascii="宋体" w:hAnsi="宋体"/>
                <w:bCs/>
                <w:color w:val="000000"/>
                <w:sz w:val="24"/>
              </w:rPr>
              <w:t>1.3无线扫描枪，可扫描患者腕带获取患者信息，扫描药品一维码、二维码对应自动打开相应抽屉；</w:t>
            </w:r>
          </w:p>
          <w:p>
            <w:pPr>
              <w:spacing w:line="360" w:lineRule="auto"/>
              <w:rPr>
                <w:rFonts w:ascii="宋体" w:hAnsi="宋体"/>
                <w:bCs/>
                <w:sz w:val="24"/>
              </w:rPr>
            </w:pPr>
            <w:r>
              <w:rPr>
                <w:rFonts w:hint="eastAsia" w:ascii="宋体" w:hAnsi="宋体"/>
                <w:bCs/>
                <w:sz w:val="24"/>
              </w:rPr>
              <w:t>1.4备有急救药品抽屉，可直接打开；</w:t>
            </w:r>
          </w:p>
          <w:p>
            <w:pPr>
              <w:spacing w:line="360" w:lineRule="auto"/>
              <w:rPr>
                <w:rFonts w:hint="eastAsia" w:ascii="宋体" w:hAnsi="宋体"/>
                <w:bCs/>
                <w:color w:val="000000"/>
                <w:sz w:val="24"/>
              </w:rPr>
            </w:pPr>
            <w:r>
              <w:rPr>
                <w:rFonts w:hint="eastAsia" w:ascii="宋体" w:hAnsi="宋体"/>
                <w:bCs/>
                <w:color w:val="000000"/>
                <w:sz w:val="24"/>
              </w:rPr>
              <w:t>1.5配备UPS不间断电源、系统断电后可工作不少于30分钟；</w:t>
            </w:r>
          </w:p>
          <w:p>
            <w:pPr>
              <w:spacing w:line="360" w:lineRule="auto"/>
              <w:rPr>
                <w:rFonts w:hint="eastAsia" w:ascii="宋体" w:hAnsi="宋体"/>
                <w:bCs/>
                <w:color w:val="000000"/>
                <w:sz w:val="24"/>
              </w:rPr>
            </w:pPr>
            <w:r>
              <w:rPr>
                <w:rFonts w:hint="eastAsia" w:ascii="宋体" w:hAnsi="宋体"/>
                <w:bCs/>
                <w:color w:val="000000"/>
                <w:sz w:val="24"/>
              </w:rPr>
              <w:t>1.6具有非电控双门锁的应急舱门，实现紧急状况下的应急取药；</w:t>
            </w:r>
          </w:p>
          <w:p>
            <w:pPr>
              <w:spacing w:line="360" w:lineRule="auto"/>
              <w:rPr>
                <w:rFonts w:hint="eastAsia" w:ascii="宋体" w:hAnsi="宋体"/>
                <w:bCs/>
                <w:color w:val="000000"/>
                <w:sz w:val="24"/>
              </w:rPr>
            </w:pPr>
            <w:r>
              <w:rPr>
                <w:rFonts w:hint="eastAsia" w:ascii="宋体" w:hAnsi="宋体"/>
                <w:bCs/>
                <w:color w:val="000000"/>
                <w:sz w:val="24"/>
              </w:rPr>
              <w:t>1.7应急取药具有自动登记汇总功能及完备的追溯管理功能。</w:t>
            </w:r>
          </w:p>
          <w:p>
            <w:pPr>
              <w:spacing w:line="360" w:lineRule="auto"/>
              <w:rPr>
                <w:rFonts w:ascii="宋体" w:hAnsi="宋体"/>
                <w:bCs/>
                <w:color w:val="C00000"/>
                <w:sz w:val="24"/>
              </w:rPr>
            </w:pPr>
            <w:r>
              <w:rPr>
                <w:rFonts w:hint="eastAsia" w:ascii="宋体" w:hAnsi="宋体"/>
                <w:bCs/>
                <w:color w:val="000000"/>
                <w:sz w:val="24"/>
              </w:rPr>
              <w:t>1.8具有防盗报警功能 ，当药柜出现外力破坏时具有完备的报警功能；</w:t>
            </w:r>
          </w:p>
          <w:p>
            <w:pPr>
              <w:spacing w:line="360" w:lineRule="auto"/>
              <w:rPr>
                <w:rFonts w:hint="eastAsia" w:ascii="宋体" w:hAnsi="宋体"/>
                <w:bCs/>
                <w:color w:val="000000"/>
                <w:sz w:val="24"/>
              </w:rPr>
            </w:pPr>
            <w:r>
              <w:rPr>
                <w:rFonts w:hint="eastAsia" w:ascii="宋体" w:hAnsi="宋体" w:cs="宋体"/>
                <w:kern w:val="0"/>
                <w:sz w:val="24"/>
              </w:rPr>
              <w:t>*1.</w:t>
            </w:r>
            <w:r>
              <w:rPr>
                <w:rFonts w:hint="eastAsia" w:ascii="宋体" w:hAnsi="宋体"/>
                <w:bCs/>
                <w:color w:val="000000"/>
                <w:sz w:val="24"/>
              </w:rPr>
              <w:t>9配备废瓶回收通道及专用抽屉，对废瓶自动计数 ；</w:t>
            </w:r>
          </w:p>
          <w:p>
            <w:pPr>
              <w:spacing w:line="360" w:lineRule="auto"/>
              <w:rPr>
                <w:rFonts w:ascii="宋体" w:hAnsi="宋体"/>
                <w:bCs/>
                <w:color w:val="000000"/>
                <w:sz w:val="24"/>
              </w:rPr>
            </w:pPr>
            <w:r>
              <w:rPr>
                <w:rFonts w:hint="eastAsia" w:ascii="宋体" w:hAnsi="宋体"/>
                <w:bCs/>
                <w:color w:val="000000"/>
                <w:sz w:val="24"/>
              </w:rPr>
              <w:t>1.10可设定双人或单人登录模式，指纹或密码登录方式；</w:t>
            </w:r>
          </w:p>
          <w:p>
            <w:pPr>
              <w:spacing w:line="360" w:lineRule="auto"/>
              <w:rPr>
                <w:rFonts w:ascii="宋体" w:hAnsi="宋体"/>
                <w:bCs/>
                <w:color w:val="000000"/>
                <w:sz w:val="24"/>
              </w:rPr>
            </w:pPr>
            <w:r>
              <w:rPr>
                <w:rFonts w:hint="eastAsia" w:ascii="宋体" w:hAnsi="宋体"/>
                <w:bCs/>
                <w:color w:val="000000"/>
                <w:sz w:val="24"/>
              </w:rPr>
              <w:t>1.11操作全程及时拍照摄像，全程监控取用使用过程，便于追溯；</w:t>
            </w:r>
          </w:p>
          <w:p>
            <w:pPr>
              <w:spacing w:line="360" w:lineRule="auto"/>
              <w:rPr>
                <w:rFonts w:ascii="宋体" w:hAnsi="宋体"/>
                <w:bCs/>
                <w:color w:val="000000"/>
                <w:sz w:val="24"/>
              </w:rPr>
            </w:pPr>
            <w:r>
              <w:rPr>
                <w:rFonts w:hint="eastAsia" w:ascii="宋体" w:hAnsi="宋体"/>
                <w:bCs/>
                <w:color w:val="000000"/>
                <w:sz w:val="24"/>
              </w:rPr>
              <w:t xml:space="preserve">1.12放药、取药完成后有语音与对话框两种提示方式自动播报(显示)药品名称、数量供操作者核对； </w:t>
            </w:r>
          </w:p>
          <w:p>
            <w:pPr>
              <w:spacing w:line="360" w:lineRule="auto"/>
              <w:rPr>
                <w:rFonts w:hint="eastAsia" w:ascii="宋体" w:hAnsi="宋体"/>
                <w:bCs/>
                <w:color w:val="000000"/>
                <w:sz w:val="24"/>
              </w:rPr>
            </w:pPr>
            <w:r>
              <w:rPr>
                <w:rFonts w:hint="eastAsia" w:ascii="宋体" w:hAnsi="宋体"/>
                <w:bCs/>
                <w:color w:val="000000"/>
                <w:sz w:val="24"/>
              </w:rPr>
              <w:t>*1.13加药、取药自动对药品数量通过称重进行智能计数，统计生成各类报表；麻精药品和普通药品可分类登记，统计；</w:t>
            </w:r>
          </w:p>
          <w:p>
            <w:pPr>
              <w:spacing w:line="360" w:lineRule="auto"/>
              <w:rPr>
                <w:rFonts w:ascii="宋体" w:hAnsi="宋体"/>
                <w:bCs/>
                <w:color w:val="000000"/>
                <w:sz w:val="24"/>
              </w:rPr>
            </w:pPr>
            <w:r>
              <w:rPr>
                <w:rFonts w:hint="eastAsia" w:ascii="宋体" w:hAnsi="宋体"/>
                <w:bCs/>
                <w:color w:val="000000"/>
                <w:sz w:val="24"/>
              </w:rPr>
              <w:t>*1.14智能纠错功能，能智能识别放入的错误药品；</w:t>
            </w:r>
          </w:p>
          <w:p>
            <w:pPr>
              <w:spacing w:line="360" w:lineRule="auto"/>
              <w:rPr>
                <w:rFonts w:ascii="宋体" w:hAnsi="宋体"/>
                <w:bCs/>
                <w:color w:val="000000"/>
                <w:sz w:val="24"/>
              </w:rPr>
            </w:pPr>
            <w:r>
              <w:rPr>
                <w:rFonts w:hint="eastAsia" w:ascii="宋体" w:hAnsi="宋体"/>
                <w:bCs/>
                <w:color w:val="000000"/>
                <w:sz w:val="24"/>
              </w:rPr>
              <w:t>1.15药物配伍禁忌智能提醒；</w:t>
            </w:r>
          </w:p>
          <w:p>
            <w:pPr>
              <w:spacing w:line="360" w:lineRule="auto"/>
              <w:rPr>
                <w:rFonts w:ascii="宋体" w:hAnsi="宋体"/>
                <w:bCs/>
                <w:color w:val="000000"/>
                <w:sz w:val="24"/>
              </w:rPr>
            </w:pPr>
            <w:r>
              <w:rPr>
                <w:rFonts w:hint="eastAsia" w:ascii="宋体" w:hAnsi="宋体"/>
                <w:bCs/>
                <w:color w:val="000000"/>
                <w:sz w:val="24"/>
              </w:rPr>
              <w:t>1.16系统可设置药品最低量，缺药及时提醒。</w:t>
            </w:r>
          </w:p>
          <w:p>
            <w:pPr>
              <w:spacing w:line="360" w:lineRule="auto"/>
              <w:rPr>
                <w:rFonts w:ascii="宋体" w:hAnsi="宋体"/>
                <w:bCs/>
                <w:color w:val="000000"/>
                <w:sz w:val="24"/>
              </w:rPr>
            </w:pPr>
            <w:r>
              <w:rPr>
                <w:rFonts w:hint="eastAsia" w:ascii="宋体" w:hAnsi="宋体"/>
                <w:bCs/>
                <w:color w:val="000000"/>
                <w:sz w:val="24"/>
              </w:rPr>
              <w:t>*1.17具有药品批号管理功能，同一药品不同批号可按医疗规范进行管理；</w:t>
            </w:r>
          </w:p>
          <w:p>
            <w:pPr>
              <w:spacing w:line="360" w:lineRule="auto"/>
              <w:rPr>
                <w:rFonts w:ascii="宋体" w:hAnsi="宋体"/>
                <w:bCs/>
                <w:color w:val="C00000"/>
                <w:sz w:val="24"/>
              </w:rPr>
            </w:pPr>
            <w:r>
              <w:rPr>
                <w:rFonts w:hint="eastAsia" w:ascii="宋体" w:hAnsi="宋体"/>
                <w:bCs/>
                <w:color w:val="000000"/>
                <w:sz w:val="24"/>
              </w:rPr>
              <w:t>1.18具有药品效期管理功能，药品到期前（时间可设定）药品保险箱智能提醒；</w:t>
            </w:r>
          </w:p>
          <w:p>
            <w:pPr>
              <w:spacing w:line="360" w:lineRule="auto"/>
              <w:rPr>
                <w:rFonts w:ascii="宋体" w:hAnsi="宋体"/>
                <w:bCs/>
                <w:color w:val="000000"/>
                <w:sz w:val="24"/>
              </w:rPr>
            </w:pPr>
            <w:r>
              <w:rPr>
                <w:rFonts w:hint="eastAsia" w:ascii="宋体" w:hAnsi="宋体"/>
                <w:bCs/>
                <w:color w:val="000000"/>
                <w:sz w:val="24"/>
              </w:rPr>
              <w:t>1.19配备药品标签打印机，取药后自动打印药品标签；</w:t>
            </w:r>
          </w:p>
          <w:p>
            <w:pPr>
              <w:spacing w:line="360" w:lineRule="auto"/>
              <w:rPr>
                <w:rFonts w:ascii="宋体" w:hAnsi="宋体"/>
                <w:bCs/>
                <w:color w:val="000000"/>
                <w:sz w:val="24"/>
              </w:rPr>
            </w:pPr>
            <w:r>
              <w:rPr>
                <w:rFonts w:hint="eastAsia" w:ascii="宋体" w:hAnsi="宋体" w:cs="宋体"/>
                <w:kern w:val="0"/>
                <w:sz w:val="24"/>
              </w:rPr>
              <w:t>1.</w:t>
            </w:r>
            <w:r>
              <w:rPr>
                <w:rFonts w:hint="eastAsia" w:ascii="宋体" w:hAnsi="宋体"/>
                <w:bCs/>
                <w:color w:val="000000"/>
                <w:sz w:val="24"/>
              </w:rPr>
              <w:t>20自动生成麻醉药品处方，自动选择红、白纸张打印；</w:t>
            </w:r>
          </w:p>
          <w:p>
            <w:pPr>
              <w:rPr>
                <w:rFonts w:hint="eastAsia" w:ascii="宋体" w:hAnsi="宋体"/>
                <w:bCs/>
                <w:color w:val="000000"/>
                <w:sz w:val="24"/>
              </w:rPr>
            </w:pPr>
            <w:r>
              <w:rPr>
                <w:rFonts w:hint="eastAsia" w:ascii="宋体" w:hAnsi="宋体"/>
                <w:bCs/>
                <w:color w:val="000000"/>
                <w:sz w:val="24"/>
              </w:rPr>
              <w:t>*1.21每台药品智能保险箱存储药品单元为独立单元，并能智能开闭，且不少于30个；</w:t>
            </w:r>
          </w:p>
          <w:p>
            <w:pPr>
              <w:spacing w:line="360" w:lineRule="auto"/>
              <w:rPr>
                <w:rFonts w:ascii="宋体" w:hAnsi="宋体"/>
                <w:bCs/>
                <w:sz w:val="24"/>
              </w:rPr>
            </w:pPr>
            <w:r>
              <w:rPr>
                <w:rFonts w:hint="eastAsia" w:ascii="宋体" w:hAnsi="宋体"/>
                <w:bCs/>
                <w:sz w:val="24"/>
              </w:rPr>
              <w:t>1.22产品尺寸130*61*52cm（H*L*W）,重100KG</w:t>
            </w:r>
          </w:p>
          <w:p>
            <w:pPr>
              <w:spacing w:line="360" w:lineRule="auto"/>
              <w:rPr>
                <w:rFonts w:hint="eastAsia" w:ascii="宋体" w:hAnsi="宋体"/>
                <w:bCs/>
                <w:color w:val="000000"/>
                <w:sz w:val="24"/>
              </w:rPr>
            </w:pPr>
            <w:r>
              <w:rPr>
                <w:rFonts w:hint="eastAsia" w:ascii="宋体" w:hAnsi="宋体"/>
                <w:bCs/>
                <w:color w:val="000000"/>
                <w:sz w:val="24"/>
              </w:rPr>
              <w:t>2.麻精药品管理系统</w:t>
            </w:r>
          </w:p>
          <w:p>
            <w:pPr>
              <w:spacing w:line="360" w:lineRule="auto"/>
              <w:rPr>
                <w:rFonts w:ascii="宋体" w:hAnsi="宋体"/>
                <w:bCs/>
                <w:color w:val="000000"/>
                <w:sz w:val="24"/>
              </w:rPr>
            </w:pPr>
            <w:r>
              <w:rPr>
                <w:rFonts w:hint="eastAsia" w:ascii="宋体" w:hAnsi="宋体"/>
                <w:bCs/>
                <w:color w:val="000000"/>
                <w:sz w:val="24"/>
              </w:rPr>
              <w:t>2.1系统可远程管理各</w:t>
            </w:r>
            <w:r>
              <w:rPr>
                <w:rFonts w:hint="eastAsia" w:ascii="宋体" w:hAnsi="宋体"/>
                <w:sz w:val="24"/>
              </w:rPr>
              <w:t>药品智能保险箱。可查看各药品智能保险箱取药、补药、库存情况，具有针对相应药品智能保险箱缺药提醒功能；</w:t>
            </w:r>
          </w:p>
          <w:p>
            <w:pPr>
              <w:spacing w:line="360" w:lineRule="auto"/>
              <w:rPr>
                <w:rFonts w:ascii="宋体" w:hAnsi="宋体"/>
                <w:bCs/>
                <w:color w:val="000000"/>
                <w:sz w:val="24"/>
              </w:rPr>
            </w:pPr>
            <w:r>
              <w:rPr>
                <w:rFonts w:hint="eastAsia" w:ascii="宋体" w:hAnsi="宋体"/>
                <w:bCs/>
                <w:color w:val="000000"/>
                <w:sz w:val="24"/>
              </w:rPr>
              <w:t>2.2具有报表统计及打印功能：各类报表可统计并支持打印功能；</w:t>
            </w:r>
          </w:p>
          <w:p>
            <w:pPr>
              <w:spacing w:line="360" w:lineRule="auto"/>
              <w:rPr>
                <w:rFonts w:hint="eastAsia" w:ascii="宋体" w:hAnsi="宋体"/>
                <w:bCs/>
                <w:color w:val="000000"/>
                <w:sz w:val="24"/>
              </w:rPr>
            </w:pPr>
            <w:r>
              <w:rPr>
                <w:rFonts w:hint="eastAsia" w:ascii="宋体" w:hAnsi="宋体"/>
                <w:bCs/>
                <w:color w:val="000000"/>
                <w:sz w:val="24"/>
              </w:rPr>
              <w:t>2.3具有各病人用药汇总功能，与药房收费系统对接后实现自动收费；</w:t>
            </w:r>
          </w:p>
          <w:p>
            <w:pPr>
              <w:spacing w:line="360" w:lineRule="auto"/>
              <w:rPr>
                <w:rFonts w:hint="eastAsia" w:ascii="宋体" w:hAnsi="宋体"/>
                <w:bCs/>
                <w:color w:val="000000"/>
                <w:sz w:val="24"/>
              </w:rPr>
            </w:pPr>
            <w:r>
              <w:rPr>
                <w:rFonts w:hint="eastAsia" w:ascii="宋体" w:hAnsi="宋体"/>
                <w:bCs/>
                <w:color w:val="000000"/>
                <w:sz w:val="24"/>
              </w:rPr>
              <w:t>*2.4具有药品自动盘点功能；</w:t>
            </w:r>
          </w:p>
          <w:p>
            <w:pPr>
              <w:rPr>
                <w:rFonts w:hint="eastAsia" w:ascii="宋体" w:hAnsi="宋体"/>
                <w:sz w:val="24"/>
              </w:rPr>
            </w:pPr>
          </w:p>
        </w:tc>
        <w:tc>
          <w:tcPr>
            <w:tcW w:w="709" w:type="dxa"/>
            <w:noWrap w:val="0"/>
            <w:vAlign w:val="center"/>
          </w:tcPr>
          <w:p>
            <w:pPr>
              <w:widowControl/>
              <w:jc w:val="center"/>
              <w:rPr>
                <w:rFonts w:hint="eastAsia" w:ascii="宋体" w:hAnsi="宋体" w:cs="宋体"/>
                <w:sz w:val="24"/>
              </w:rPr>
            </w:pPr>
            <w:r>
              <w:rPr>
                <w:rFonts w:hint="eastAsia" w:ascii="宋体" w:hAnsi="宋体" w:cs="宋体"/>
                <w:sz w:val="24"/>
              </w:rPr>
              <w:t>1</w:t>
            </w:r>
          </w:p>
        </w:tc>
        <w:tc>
          <w:tcPr>
            <w:tcW w:w="939" w:type="dxa"/>
            <w:noWrap w:val="0"/>
            <w:vAlign w:val="center"/>
          </w:tcPr>
          <w:p>
            <w:pPr>
              <w:widowControl/>
              <w:jc w:val="center"/>
              <w:rPr>
                <w:rFonts w:hint="eastAsia" w:ascii="宋体" w:hAnsi="宋体" w:cs="宋体"/>
                <w:sz w:val="24"/>
              </w:rPr>
            </w:pPr>
            <w:r>
              <w:rPr>
                <w:rFonts w:hint="eastAsia" w:ascii="宋体" w:hAnsi="宋体" w:cs="宋体"/>
                <w:sz w:val="24"/>
              </w:rPr>
              <w:t>240000</w:t>
            </w:r>
          </w:p>
        </w:tc>
        <w:tc>
          <w:tcPr>
            <w:tcW w:w="1145" w:type="dxa"/>
            <w:noWrap w:val="0"/>
            <w:vAlign w:val="center"/>
          </w:tcPr>
          <w:p>
            <w:pPr>
              <w:widowControl/>
              <w:jc w:val="center"/>
              <w:textAlignment w:val="center"/>
              <w:rPr>
                <w:rFonts w:hint="eastAsia" w:ascii="宋体" w:hAnsi="宋体" w:cs="宋体"/>
                <w:sz w:val="24"/>
              </w:rPr>
            </w:pPr>
            <w:r>
              <w:rPr>
                <w:rFonts w:hint="eastAsia" w:ascii="宋体" w:hAnsi="宋体" w:cs="宋体"/>
                <w:color w:val="000000"/>
                <w:kern w:val="0"/>
                <w:sz w:val="24"/>
                <w:lang w:bidi="ar"/>
              </w:rPr>
              <w:t>240000</w:t>
            </w:r>
          </w:p>
        </w:tc>
      </w:tr>
    </w:tbl>
    <w:p>
      <w:pPr>
        <w:spacing w:line="360" w:lineRule="auto"/>
        <w:rPr>
          <w:rFonts w:hint="eastAsia" w:asciiTheme="minorEastAsia" w:hAnsiTheme="minorEastAsia"/>
          <w:b/>
          <w:bCs/>
          <w:sz w:val="24"/>
          <w:szCs w:val="24"/>
        </w:rPr>
      </w:pPr>
    </w:p>
    <w:p>
      <w:pPr>
        <w:spacing w:line="360" w:lineRule="auto"/>
        <w:ind w:firstLine="482" w:firstLineChars="200"/>
        <w:rPr>
          <w:rFonts w:hint="eastAsia" w:asciiTheme="minorEastAsia" w:hAnsiTheme="minorEastAsia"/>
          <w:b/>
          <w:bCs/>
          <w:sz w:val="24"/>
          <w:szCs w:val="24"/>
        </w:rPr>
      </w:pPr>
    </w:p>
    <w:p>
      <w:pPr>
        <w:spacing w:line="360" w:lineRule="auto"/>
        <w:ind w:firstLine="482" w:firstLineChars="200"/>
        <w:rPr>
          <w:rFonts w:hint="eastAsia" w:asciiTheme="minorEastAsia" w:hAnsiTheme="minorEastAsia"/>
          <w:b/>
          <w:bCs/>
          <w:sz w:val="24"/>
          <w:szCs w:val="24"/>
        </w:rPr>
      </w:pPr>
      <w:r>
        <w:rPr>
          <w:rFonts w:hint="eastAsia" w:asciiTheme="minorEastAsia" w:hAnsiTheme="minorEastAsia"/>
          <w:b/>
          <w:bCs/>
          <w:sz w:val="24"/>
          <w:szCs w:val="24"/>
        </w:rPr>
        <w:t>四、评标方法及评标细则要求</w:t>
      </w:r>
    </w:p>
    <w:p>
      <w:pPr>
        <w:spacing w:line="360" w:lineRule="auto"/>
        <w:ind w:firstLine="420" w:firstLineChars="200"/>
        <w:rPr>
          <w:rFonts w:hint="eastAsia" w:ascii="宋体" w:hAnsi="宋体" w:cs="宋体"/>
          <w:b w:val="0"/>
          <w:bCs/>
          <w:kern w:val="0"/>
          <w:sz w:val="21"/>
          <w:szCs w:val="21"/>
        </w:rPr>
      </w:pPr>
      <w:r>
        <w:rPr>
          <w:rFonts w:hint="eastAsia" w:ascii="宋体" w:hAnsi="宋体" w:cs="宋体"/>
          <w:b w:val="0"/>
          <w:bCs/>
          <w:kern w:val="0"/>
          <w:sz w:val="21"/>
          <w:szCs w:val="21"/>
          <w:lang w:val="en-US" w:eastAsia="zh-CN"/>
        </w:rPr>
        <w:t>1.</w:t>
      </w: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w:t>
            </w:r>
            <w:r>
              <w:rPr>
                <w:rFonts w:hint="eastAsia" w:ascii="宋体" w:hAnsi="宋体" w:eastAsia="宋体" w:cs="宋体"/>
                <w:sz w:val="21"/>
                <w:szCs w:val="21"/>
                <w:lang w:val="en-US" w:eastAsia="zh-CN"/>
              </w:rPr>
              <w:t>2020</w:t>
            </w:r>
            <w:r>
              <w:rPr>
                <w:rFonts w:hint="eastAsia" w:ascii="宋体" w:hAnsi="宋体" w:eastAsia="宋体" w:cs="宋体"/>
                <w:sz w:val="21"/>
                <w:szCs w:val="21"/>
              </w:rPr>
              <w:t>年度财务审计报告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Style w:val="2"/>
        <w:rPr>
          <w:lang w:val="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4.履约保证金退回流程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黑名单记录内容：投标厂家名称、法人名称（身份证号）、经办人姓名（身份证号）、联系电话等相关信息。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先由招标办审核盖章，再到财务科盖章确认。</w:t>
      </w: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3"/>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2"/>
        <w:rPr>
          <w:rFonts w:hint="eastAsia"/>
          <w:color w:val="000000"/>
        </w:rPr>
      </w:pPr>
    </w:p>
    <w:p>
      <w:pPr>
        <w:pStyle w:val="2"/>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default"/>
          <w:lang w:val="en-US" w:eastAsia="zh-CN"/>
        </w:rPr>
      </w:pPr>
      <w:r>
        <w:rPr>
          <w:rFonts w:hint="eastAsia" w:ascii="宋体" w:hAnsi="宋体" w:eastAsia="宋体" w:cs="宋体"/>
          <w:b w:val="0"/>
          <w:bCs w:val="0"/>
          <w:color w:val="000000"/>
          <w:kern w:val="2"/>
          <w:sz w:val="24"/>
          <w:szCs w:val="24"/>
          <w:lang w:val="en-US" w:eastAsia="zh-CN" w:bidi="ar-SA"/>
        </w:rPr>
        <w:t>十六、彩页</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十七、其他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2336;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GB4dpVhAgAAxAQAAA4AAABkcnMvZTJvRG9jLnhtbK1UwW4T&#10;MRC9I/EPlu90s9k0hSibKrQKQqpopYI4O15v1sL2GNvJbvkA+gecuHDnu/odjL2btLQceiAHZ+x5&#10;ejPzZmbnp51WZCecl2BKmh+NKBGGQyXNpqSfPq5evabEB2YqpsCIkt4IT08XL1/MWzsTY2hAVcIR&#10;JDF+1tqSNiHYWZZ53gjN/BFYYdBZg9Ms4NVtssqxFtm1ysaj0TRrwVXWARfe4+t576QDo3sOIdS1&#10;5OIc+FYLE3pWJxQLWJJvpPV0kbKta8HDZV17EYgqKVYa0olB0F7HM1vM2WzjmG0kH1Jgz0nhUU2a&#10;SYNBD1TnLDCydfIJlZbcgYc6HHHQWV9IUgSryEePtLlumBWpFpTa24Po/v/R8g+7K0dkVdKCEsM0&#10;Nvzux+3dz993v76TIsrTWj9D1LVFXOjeQodDs3/3+Bir7mqn4z/WQ9A/KabT8RQlvkHa4qTIx4PQ&#10;oguEI2BcTIr8GAEcEflkcpJPjyNndk9lnQ/vBGgSjZI67GQSmO0ufOihe0iM7EHJaiWVShe3WZ8p&#10;R3YMu75Kv4H9L5gypC3ptMBEnlBE7gPFWjH+5SkDZqsMJh0V6pWIVujW3SDbGqobVM1BP3be8pVE&#10;3gvmwxVzOGeoAG5iuMSjVoDJwGBR0oD79q/3iMf2o5eSFue2pP7rljlBiXpvcDDeoJxIG9JlcnyC&#10;0hP30LN+6DFbfQYoUo47b3kyIz6ovVk70J9xYZcxKrqY4Ri7pGFvnoV+m3DhuVguEwhH27JwYa4t&#10;j9RRXAPLbYBaptZFmXptBvVwuFPzh0WM2/PwnlD3H5/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Y6wcDWAAAACQEAAA8AAAAAAAAAAQAgAAAAIgAAAGRycy9kb3ducmV2LnhtbFBLAQIUABQAAAAI&#10;AIdO4kBgeHaVYQIAAMQEAAAOAAAAAAAAAAEAIAAAACUBAABkcnMvZTJvRG9jLnhtbFBLBQYAAAAA&#10;BgAGAFkBAAD4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0288;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AvpoS5jAgAAxAQAAA4AAABkcnMvZTJvRG9jLnhtbK1UzW4T&#10;MRC+I/EOlu90k81P2yibKrQKQqpopYA4O15v1sL2GNvJbnkAeANOXLjzXH0Oxt5Nfzn0QA7O2PPp&#10;m5lvZnZ+1mpF9sJ5Caagw6MBJcJwKKXZFvTTx9WbE0p8YKZkCowo6I3w9Gzx+tW8sTORQw2qFI4g&#10;ifGzxha0DsHOsszzWmjmj8AKg84KnGYBr26blY41yK5Vlg8G06wBV1oHXHiPrxedk/aM7iWEUFWS&#10;iwvgOy1M6FidUCxgSb6W1tNFyraqBA9XVeVFIKqgWGlIJwZBexPPbDFns61jtpa8T4G9JIUnNWkm&#10;DQa9o7pggZGdk8+otOQOPFThiIPOukKSIljFcPBEm3XNrEi1oNTe3onu/x8t/7C/dkSWBZ1SYpjG&#10;ht/+/HH768/t7+9kGuVprJ8ham0RF9q30OLQHN49Psaq28rp+I/1kOgfHU/GQ5T4pqCjfHCan/ZC&#10;izYQjoB8nJ/kYwRwRAzHJ9PJaBI5s3sq63x4J0CTaBTUYSeTwGx/6UMHPUBiZA9KliupVLq47eZc&#10;ObJn2PVV+vXsj2DKkAbrHk0GifmRL3LfUWwU41+eM2C2ymDSUaFOiWiFdtP2sm2gvEHVHHRj5y1f&#10;SeS9ZD5cM4dzhgrgJoYrPCoFmAz0FiU1uG//eo94bD96KWlwbgvqv+6YE5So9wYH43Q4jsKGdBlP&#10;jnO8uIeezUOP2elzQJGGuPOWJzPigzqYlQP9GRd2GaOiixmOsQsaDuZ56LYJF56L5TKBcLQtC5dm&#10;bXmkji0xsNwFqGRqXZSp06ZXD4c7Nb9fxLg9D+8Jdf/x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cIOa9YAAAAIAQAADwAAAAAAAAABACAAAAAiAAAAZHJzL2Rvd25yZXYueG1sUEsBAhQAFAAA&#10;AAgAh07iQAvpoS5jAgAAxAQAAA4AAAAAAAAAAQAgAAAAJQEAAGRycy9lMm9Eb2MueG1sUEsFBgAA&#10;AAAGAAYAWQEAAPo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3360"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3360;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C5g6y6ZAIAAMQEAAAOAAAAZHJzL2Uyb0RvYy54bWytVM1u&#10;2zAMvg/YOwi6r44Tp2mDOkXWIsOAYi3QDTsrshwLk0RNUmJ3D7C9wU677L7n6nOMkp3+7tDDclAo&#10;8cNH8iPpk9NOK7ITzkswJc0PRpQIw6GSZlPSTx9Xb44o8YGZiikwoqQ3wtPTxetXJ62dizE0oCrh&#10;CJIYP29tSZsQ7DzLPG+EZv4ArDDorMFpFvDqNlnlWIvsWmXj0egwa8FV1gEX3uPree+kA6N7CSHU&#10;teTiHPhWCxN6VicUC1iSb6T1dJGyrWvBw2VdexGIKilWGtKJQdBexzNbnLD5xjHbSD6kwF6SwpOa&#10;NJMGg95RnbPAyNbJZ1Racgce6nDAQWd9IUkRrCIfPdHmumFWpFpQam/vRPf/j5Z/2F05IquSFpQY&#10;prHhtz9/3P76c/v7OymiPK31c0RdW8SF7i10ODT7d4+Psequdjr+Yz0E/cUkPzqcTCm5KekU6zoe&#10;D0KLLhCOgPFkls/GCOCIyIvZ4WQ2jZzZPZV1PrwToEk0Suqwk0lgtrvwoYfuITGyByWrlVQqXdxm&#10;faYc2THs+ir9BvZHMGVIW1JMdJSYH/ki9x3FWjH+5TkDZqsMJh0V6pWIVujW3SDbGqobVM1BP3be&#10;8pVE3gvmwxVzOGc4hbiJ4RKPWgEmA4NFSQPu27/eIx7bj15KWpzbkvqvW+YEJeq9wcE4zosiDnq6&#10;FNMZSk/cQ8/6ocds9RmgSDnuvOXJjPig9mbtQH/GhV3GqOhihmPskoa9eRb6bcKF52K5TCAcbcvC&#10;hbm2PFLHlhhYbgPUMrUuytRrM6iHw52aPyxi3J6H94S6//g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pHvKM1wAAAAkBAAAPAAAAAAAAAAEAIAAAACIAAABkcnMvZG93bnJldi54bWxQSwECFAAU&#10;AAAACACHTuJAuYOsumQCAADEBAAADgAAAAAAAAABACAAAAAm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1312;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d+cpJFYCAAC4BAAADgAAAGRycy9lMm9Eb2MueG1srVTNbhox&#10;EL5X6jtYvjcLBGiCWCJKRFUpaiKlVc/G62Wt2h7XNuzSB2jfoKdeeu9z5Tk69i6Ehh5yKAczf3wz&#10;880M06tGK7IVzkswOe2f9SgRhkMhzTqnHz8sX11Q4gMzBVNgRE53wtOr2csX09pOxAAqUIVwBEGM&#10;n9Q2p1UIdpJlnldCM38GVhh0luA0C6i6dVY4ViO6Vtmg1xtnNbjCOuDCe7Ret07aIbrnAEJZSi6u&#10;gW+0MKFFdUKxgC35SlpPZ6nashQ83JalF4GonGKnIb2YBOVVfLPZlE3WjtlK8q4E9pwSnvSkmTSY&#10;9AB1zQIjGydPoLTkDjyU4YyDztpGEiPYRb/3hJv7ilmRekGqvT2Q7v8fLH+/vXNEFjkdUGKYxoE/&#10;/Pj+8PP3w69vZBDpqa2fYNS9xbjQvIEGl2Zv92iMXTel0/Eb+yHoR3J3B3JFEwhH42DYvzwfoYuj&#10;rz+8GI/ORxEne/y5dT68FaBJFHLqcHqJVLa98aEN3YfEbB6ULJZSqaS49WqhHNkynPQyfTr0v8KU&#10;IXVOx7GQE4iIfYBYKcY/nyJgtcpg0ZGVtvsohWbVdFStoNghUw7aVfOWLyXi3jAf7pjD3UIG8PrC&#10;LT6lAiwGOomSCtzXf9ljPI4cvZTUuKs59V82zAlK1DuDy3DZHw4RNiRlOHo9QMUde1bHHrPRC0CS&#10;+njnlicxxge1F0sH+hMe6TxmRRczHHPnNOzFRWgvCI+ci/k8BeE6WxZuzL3lETqSa2C+CVDKNLpI&#10;U8tNxx4udBp+d3zxYo71FPX4hzP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WcmAnVAAAACAEA&#10;AA8AAAAAAAAAAQAgAAAAIgAAAGRycy9kb3ducmV2LnhtbFBLAQIUABQAAAAIAIdO4kB35ykkVgIA&#10;ALgEAAAOAAAAAAAAAAEAIAAAACQBAABkcnMvZTJvRG9jLnhtbFBLBQYAAAAABgAGAFkBAADsBQAA&#10;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lang w:val="en-US" w:eastAsia="zh-CN"/>
        </w:rPr>
      </w:pPr>
      <w:r>
        <w:rPr>
          <w:rFonts w:hint="eastAsia" w:ascii="宋体" w:hAnsi="宋体" w:eastAsia="宋体" w:cs="宋体"/>
          <w:b/>
          <w:bCs/>
          <w:sz w:val="28"/>
          <w:szCs w:val="28"/>
          <w:lang w:val="en-US" w:eastAsia="zh-CN"/>
        </w:rPr>
        <w:t>十六、产品彩页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59264;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4jTIS/8BAAApBAAADgAAAGRycy9lMm9Eb2MueG1srVNL&#10;jhMxEN0jcQfLe9KdDGFmWunMghA2CEYaOIDjT7cl/+Ry0p3TILHjEBwHcQ3K7pBhhk0W9MJdZZdf&#10;1XtVXt2N1pCDjKC9a+l8VlMiHfdCu66lXz5vX91QAok5wYx3sqVHCfRu/fLFagiNXPjeGyEjQRAH&#10;zRBa2qcUmqoC3kvLYOaDdHiofLQsoRu7SkQ2ILo11aKu31SDjyJEzyUA7m6mQ3pCjJcAeqU0lxvP&#10;91a6NKFGaVhCStDrAHRdqlVK8vRJKZCJmJYi01RWTIL2Lq/VesWaLrLQa34qgV1SwjNOlmmHSc9Q&#10;G5YY2Uf9D5TVPHrwKs24t9VEpCiCLOb1M20eehZk4YJSQziLDv8Pln883EeiRUuXlDhmseG/vn7/&#10;+eMbWWZthgANhjyE+3jyAM1MdFTR5j9SIGPR83jWU46JcNy8upq/vq5Rao5ni9vr+U0RvHq8HSKk&#10;99Jbko2WRuxXkZEdPkDCjBj6JyQnA2+02GpjihO73VsTyYFhb7flyyXjlSdhxpGhpbfLBRLkDAdW&#10;4aCgaQOSBteVfE9uwGXAubANg34qoCBM4xT93gmshDW9ZOKdEyQdAwrr8D3RXIyVghIj8fllq0Qm&#10;ps0lkcjOOCSZGzO1Iltp3I0Ik82dF0fs6D5E3fUo6bxokk9wgoo6p2nPI/q3X0AfX/j6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j+DIfYAAAADQEAAA8AAAAAAAAAAQAgAAAAIgAAAGRycy9kb3du&#10;cmV2LnhtbFBLAQIUABQAAAAIAIdO4kDiNMhL/wEAACkEAAAOAAAAAAAAAAEAIAAAACcBAABkcnMv&#10;ZTJvRG9jLnhtbFBLBQYAAAAABgAGAFkBAACYBQ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abstractNum w:abstractNumId="4">
    <w:nsid w:val="6EECE20A"/>
    <w:multiLevelType w:val="singleLevel"/>
    <w:tmpl w:val="6EECE20A"/>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14C1D05"/>
    <w:rsid w:val="027E2104"/>
    <w:rsid w:val="030D75C3"/>
    <w:rsid w:val="036A0F34"/>
    <w:rsid w:val="04D74F47"/>
    <w:rsid w:val="069429D0"/>
    <w:rsid w:val="069D5FAD"/>
    <w:rsid w:val="08DB2790"/>
    <w:rsid w:val="0B926A4B"/>
    <w:rsid w:val="0E280BA1"/>
    <w:rsid w:val="10D51590"/>
    <w:rsid w:val="111B7AAD"/>
    <w:rsid w:val="1368671D"/>
    <w:rsid w:val="141960BC"/>
    <w:rsid w:val="14511D5D"/>
    <w:rsid w:val="14A30191"/>
    <w:rsid w:val="14BB40C9"/>
    <w:rsid w:val="15811CB0"/>
    <w:rsid w:val="17AF1E4E"/>
    <w:rsid w:val="18803BFB"/>
    <w:rsid w:val="1B031D68"/>
    <w:rsid w:val="225B4788"/>
    <w:rsid w:val="22A03B30"/>
    <w:rsid w:val="23C451C6"/>
    <w:rsid w:val="26283EB2"/>
    <w:rsid w:val="26E23DC6"/>
    <w:rsid w:val="29111AF1"/>
    <w:rsid w:val="295579BA"/>
    <w:rsid w:val="2C4241C8"/>
    <w:rsid w:val="2F2D32EB"/>
    <w:rsid w:val="2F534F90"/>
    <w:rsid w:val="2FE43113"/>
    <w:rsid w:val="30185EAC"/>
    <w:rsid w:val="311B3E30"/>
    <w:rsid w:val="31BC642E"/>
    <w:rsid w:val="31EE4882"/>
    <w:rsid w:val="333F7051"/>
    <w:rsid w:val="33F96FD6"/>
    <w:rsid w:val="39EF7A7C"/>
    <w:rsid w:val="3E843922"/>
    <w:rsid w:val="3FB454E1"/>
    <w:rsid w:val="43A623BD"/>
    <w:rsid w:val="43E1752F"/>
    <w:rsid w:val="475206C1"/>
    <w:rsid w:val="478C50C3"/>
    <w:rsid w:val="4803283D"/>
    <w:rsid w:val="4B645A8C"/>
    <w:rsid w:val="4B8219EB"/>
    <w:rsid w:val="4C0130D0"/>
    <w:rsid w:val="4C2B118A"/>
    <w:rsid w:val="4C873D0A"/>
    <w:rsid w:val="4DE61182"/>
    <w:rsid w:val="4F4C28E7"/>
    <w:rsid w:val="51827267"/>
    <w:rsid w:val="51F278FD"/>
    <w:rsid w:val="52F97BD0"/>
    <w:rsid w:val="537C1673"/>
    <w:rsid w:val="568E4089"/>
    <w:rsid w:val="56B63A7F"/>
    <w:rsid w:val="56D4087D"/>
    <w:rsid w:val="57224BDA"/>
    <w:rsid w:val="5B6E25BC"/>
    <w:rsid w:val="5B7A51AB"/>
    <w:rsid w:val="5B7C6170"/>
    <w:rsid w:val="5CF27DD3"/>
    <w:rsid w:val="5F334CEB"/>
    <w:rsid w:val="60541B24"/>
    <w:rsid w:val="64BB1E86"/>
    <w:rsid w:val="65155FC3"/>
    <w:rsid w:val="683C6BCF"/>
    <w:rsid w:val="69BC0519"/>
    <w:rsid w:val="6A8F035A"/>
    <w:rsid w:val="6A933DD4"/>
    <w:rsid w:val="6D320A99"/>
    <w:rsid w:val="6D901E35"/>
    <w:rsid w:val="6F6367E4"/>
    <w:rsid w:val="70B8096D"/>
    <w:rsid w:val="71F25F5B"/>
    <w:rsid w:val="731E024A"/>
    <w:rsid w:val="740D6224"/>
    <w:rsid w:val="75CB3919"/>
    <w:rsid w:val="76437B2F"/>
    <w:rsid w:val="77246C60"/>
    <w:rsid w:val="77E46B25"/>
    <w:rsid w:val="791B65A9"/>
    <w:rsid w:val="7D7F5F4A"/>
    <w:rsid w:val="7E2D6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rPr>
      <w:rFonts w:ascii="Times New Roman" w:hAnsi="Times New Roman" w:eastAsia="宋体" w:cs="Times New Roman"/>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2021-04-01T07:33:25Z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06C6B5BE7A7D45C0B270AB1437FA98CD</vt:lpwstr>
  </property>
</Properties>
</file>