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试剂等项目（二次</w:t>
      </w:r>
      <w:bookmarkStart w:id="1" w:name="_GoBack"/>
      <w:bookmarkEnd w:id="1"/>
      <w:r>
        <w:rPr>
          <w:rFonts w:hint="eastAsia" w:ascii="黑体" w:hAnsi="黑体" w:eastAsia="黑体" w:cs="黑体"/>
          <w:b/>
          <w:sz w:val="32"/>
          <w:szCs w:val="32"/>
          <w:lang w:val="en-US" w:eastAsia="zh-CN"/>
        </w:rPr>
        <w:t>）</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2021年7月26日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2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2934" w:type="dxa"/>
            <w:vAlign w:val="center"/>
          </w:tcPr>
          <w:p>
            <w:pPr>
              <w:ind w:firstLine="480" w:firstLineChars="200"/>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试剂等项目</w:t>
            </w:r>
          </w:p>
        </w:tc>
        <w:tc>
          <w:tcPr>
            <w:tcW w:w="903" w:type="dxa"/>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val="en-US" w:eastAsia="zh-CN"/>
              </w:rPr>
              <w:t>项</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934" w:type="dxa"/>
            <w:vAlign w:val="center"/>
          </w:tcPr>
          <w:p>
            <w:pPr>
              <w:ind w:firstLine="480" w:firstLineChars="200"/>
              <w:rPr>
                <w:rFonts w:hint="default" w:ascii="宋体" w:hAnsi="宋体" w:eastAsia="宋体" w:cs="宋体"/>
                <w:sz w:val="24"/>
                <w:szCs w:val="24"/>
                <w:lang w:val="en-US"/>
              </w:rPr>
            </w:pPr>
            <w:r>
              <w:rPr>
                <w:rFonts w:hint="eastAsia" w:ascii="宋体" w:hAnsi="宋体" w:eastAsia="宋体" w:cs="宋体"/>
                <w:sz w:val="24"/>
                <w:szCs w:val="24"/>
                <w:lang w:val="en-US" w:eastAsia="zh-CN"/>
              </w:rPr>
              <w:t>269606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合同签订后30日内。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3"/>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3"/>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合同签订</w:t>
            </w:r>
            <w:r>
              <w:rPr>
                <w:rFonts w:hint="eastAsia" w:ascii="宋体" w:hAnsi="宋体" w:eastAsia="宋体" w:cs="宋体"/>
                <w:sz w:val="24"/>
                <w:szCs w:val="24"/>
              </w:rPr>
              <w:t>验收合格后，支付总货款的60%；使用</w:t>
            </w:r>
            <w:r>
              <w:rPr>
                <w:rFonts w:hint="eastAsia" w:ascii="宋体" w:hAnsi="宋体" w:eastAsia="宋体" w:cs="宋体"/>
                <w:sz w:val="24"/>
                <w:szCs w:val="24"/>
                <w:lang w:val="en-US" w:eastAsia="zh-CN"/>
              </w:rPr>
              <w:t>半</w:t>
            </w:r>
            <w:r>
              <w:rPr>
                <w:rFonts w:hint="eastAsia" w:ascii="宋体" w:hAnsi="宋体" w:eastAsia="宋体" w:cs="宋体"/>
                <w:sz w:val="24"/>
                <w:szCs w:val="24"/>
              </w:rPr>
              <w:t>年后支付总货款的30%。质保金为总金额的10%，待质保期到期后若没有发生质量等问题一次性付清。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939"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865"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4663" w:type="dxa"/>
            <w:gridSpan w:val="3"/>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营业执照经营范围包含：化工产品、医用化验和基础器材器具等。</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CM柱等化学助剂，用于回旋加速器科研及常规生产</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CM柱</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盒</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Sep Pak@light QMA柱</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盒</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3</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Sep Pak@ Alumina N铝柱</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盒</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4</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C18-plus cartridge C18柱</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盒</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5</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PS-2柱</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盒</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6</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气体滤膜</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盒</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7</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液体滤膜</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盒</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8</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FX-FDG试剂盒</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100</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盒</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9</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F18-MISO</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10</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F18-FLT</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11</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C11-蛋氨酸</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12</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C11-胆碱</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13</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C11-乙酸盐</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14</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F18-PSMA</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15</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O18水</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20</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瓶</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16</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F离子分转分配器</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w:t>
      </w:r>
      <w:r>
        <w:rPr>
          <w:rFonts w:hint="eastAsia" w:ascii="宋体" w:hAnsi="宋体"/>
          <w:sz w:val="24"/>
          <w:szCs w:val="24"/>
          <w:u w:val="single"/>
          <w:lang w:val="en-US" w:eastAsia="zh-CN"/>
        </w:rPr>
        <w:t xml:space="preserve">CM柱等化学助剂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0"/>
        <w:gridCol w:w="662"/>
        <w:gridCol w:w="7111"/>
      </w:tblGrid>
      <w:tr>
        <w:tblPrEx>
          <w:tblCellMar>
            <w:top w:w="0" w:type="dxa"/>
            <w:left w:w="108" w:type="dxa"/>
            <w:bottom w:w="0" w:type="dxa"/>
            <w:right w:w="108" w:type="dxa"/>
          </w:tblCellMar>
        </w:tblPrEx>
        <w:trPr>
          <w:trHeight w:val="21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11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CM柱：硅胶基质键合相具有强疏水性，能从水相中吸附弱疏水性的分析物，包含同样高质量的反相、正相、离子交换和特殊应用的装填吸附剂。类型plus short，360mg，孔径37-55um。</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Sep Pak@light QMA柱：硅胶基质键合相具有强疏水性，能从水相中吸附弱疏水性的分析物，包含同样高质量的反相、正相、离子交换和特殊应用的装填吸附剂。QMA  130 mg Sorbent per Cartridge, 孔径37-55 µm Particle Size, 50/pk</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Sep Pak@ Alumina N铝柱：硅胶基质键合相具有强疏水性，能从水相中吸附弱疏水性的分析物，包含同样高质量的反相、正相、离子交换和特殊应用的装填吸附剂。50-300 µm，1710 mg，1.2 mL，50 pk</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C18-plus cartridge C18柱：硅胶基质键合相具有强疏水性，能从水相中吸附弱疏水性的分析物，包含同样高质量的反相、正相、离子交换和特殊应用的装填吸附剂。360mg，0.7ML，50 pk</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PS-2柱：硅胶基质键合相具有强疏水性，能从水相中吸附弱疏水性的分析物，包含同样高质量的反相、正相、离子交换和特殊应用的装填吸附剂。300 mg，0.8 mL，Plus Short 50</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气体滤膜：Millex-FG 过滤器，0.20µm，疏水性 PTFE，25mm，PVC，环氧乙烷灭菌。产品应用: 非水溶液过滤、真空管保护、空气过滤及储液罐和生物反应器换气。进口接头: 阴Luer-Lok接头</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滤膜材质: 疏水性 PTFE。滤器色码: 进/出口均为自然色</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进口压力:5.2bar/出口接头: 阳 luer 滑动接头最高操作温度: 45度/处理体积: 100mL/滤膜孔径: 0.2µm/可润湿性: 疏水/灭菌方式：环氧乙烷/残留体积:&lt;100/滤器直径：25mm/滤膜直径: 25mm</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滤器高度: 25mm/是否无菌: 无菌/过滤面积: 3.9cm2/装置材质: PVC</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液体滤膜： Millex-FG 过滤器，0.22µm，PVC，环氧乙烷灭菌。产品应用: 水溶液过滤、真空管保护、进口接头: 阴Luer-Lok接头</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滤膜材质: 水性 PTFE。滤器色码: 进/出口均为自然色</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进口压力:5.2bar/出口接头: 阳 luer 滑动接头最高操作温度: 45度/处理体积: 100mL/滤膜孔径：0.22μm/灭菌方式：环氧乙烷/残留体积:&lt;100/滤器直径：22mm/滤膜直径: 22mm</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滤器高度: 25mm/是否无菌: 无菌/过滤面积: 3.9cm2/装置材质: PVC</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FX-FDG试剂盒：用于GE FXFN多功能化学合成模块进行液相水解亲核反应合成氟[18F]脱氧葡糖注射液FDG，含三氟甘露糖前体、k222/K2CO3溶液、乙腈、1M NaOH、0.5M NaHCO3等，无菌滤膜0.22μm，用于成品收集过滤，配合QMA柱进行吸附过滤，真空瓶收集成品。</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F18-MISO：用于GE FXFN多功能化学合成模块进合成氟[18F-FMISO]注射液，含FMISO前体、k222/K2CO3溶液、1M盐酸溶液、乙腈、抗坏血酸溶液、生理盐水、1M碳酸氢钠等，无菌滤膜0.22μm，排气针、QMA柱进行吸附纯化，真空瓶收集成品。</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F18-FLT：用于GE FXFN多功能化学合成模块合成[18F]氟胸腺嘧啶FLT，含N-BOC-FLT前体、k222/K2CO3溶液、无水乙腈、1M HCl、1 M NaOH、10%乙醇等，无菌滤膜0.22μm，用于成品收集过滤，配合铝柱中合QMA柱进行吸附纯化，真空瓶收集成品。</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C11-蛋氨酸：用于GE C11多功能化学合成模块合成碳[11C]蛋氨酸注射液，含L-高胱氨酸硫内酯盐酸盐前体、LiAlH4-THF、57% HI 、0.2M NaOH、0.2M HCl、生理盐水等，无菌滤膜0.22μm，用于成品收集过滤，真空瓶收集成品。</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C11-胆碱：用于GE C11多功能化学合成模块合成碳[11C]胆碱注射液，含L-高胱氨酸硫内酯盐酸盐前体、LiAlH4-THF、57% HI 、0.2M NaOH、0.2M HCl、生理盐水等，无菌滤膜0.22μm，用于成品收集过滤，真空瓶收集成品。</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C11-乙酸盐：用于GE C11多功能化学合成模块合成碳[11C]乙酸盐注射液，含前体、0.2M NaOH、0.2M HCl、生理盐水等，无菌滤膜0.22μm，用于成品收集过滤，真空瓶收集成品。</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F18-PSMA：用于GE F18多功能化学合成模块合成F18-PSMA，前体内毒素&lt;10.0 I.U./25mg;外观：无色到类白色固体；纯度：&gt;95.0%；质谱：1/2[M-CF3COO+H]+,535.72±0.5，无菌滤膜0.22μm，用于成品收集过滤，真空瓶收集成品。</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O18水：产品丰度大于98%，名Heavy-oxygen water，中文别名氧18水，英文别名Oxygen 18 water;分子量20.015，应用领域化学、生物、医学，CAS号14314-42-2，熔 点0.28℃，沸点100.13℃，状 态无色液体（常温）。</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等线" w:hAnsi="等线" w:eastAsia="等线" w:cs="等线"/>
                <w:i w:val="0"/>
                <w:iCs w:val="0"/>
                <w:color w:val="000000"/>
                <w:kern w:val="0"/>
                <w:sz w:val="22"/>
                <w:szCs w:val="22"/>
                <w:u w:val="none"/>
                <w:lang w:val="en-US" w:eastAsia="zh-CN" w:bidi="ar"/>
              </w:rPr>
              <w:t>F离子分转分配器：回旋加速器靶体管路至化学合成模块间用于F18离子分配，可1分2进行F18离子分配传输，含控制器，分转管路，控制开关等。管路采用四氟材质，耐腐蚀和放射性。</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Cs w:val="28"/>
                <w:lang w:eastAsia="zh-CN"/>
              </w:rPr>
            </w:pPr>
            <w:r>
              <w:rPr>
                <w:rFonts w:hint="eastAsia" w:ascii="宋体" w:hAnsi="宋体" w:cs="宋体"/>
                <w:kern w:val="0"/>
                <w:szCs w:val="21"/>
              </w:rPr>
              <w:t>注：“参数性质”标“*”表示此参数为主要技术参数，不满足任意1条即取消投标资格。</w:t>
            </w:r>
          </w:p>
        </w:tc>
      </w:tr>
    </w:tbl>
    <w:p>
      <w:pPr>
        <w:numPr>
          <w:ilvl w:val="0"/>
          <w:numId w:val="0"/>
        </w:numPr>
        <w:spacing w:line="360" w:lineRule="auto"/>
        <w:jc w:val="left"/>
        <w:rPr>
          <w:rFonts w:hint="eastAsia" w:hAnsi="宋体"/>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tabs>
          <w:tab w:val="left" w:pos="3591"/>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东胜部门诊楼十楼会议室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器械科地址：门诊楼907室     联系电话：0477—8367254</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6BEC14"/>
    <w:multiLevelType w:val="singleLevel"/>
    <w:tmpl w:val="F16BEC14"/>
    <w:lvl w:ilvl="0" w:tentative="0">
      <w:start w:val="2"/>
      <w:numFmt w:val="chineseCounting"/>
      <w:lvlText w:val="%1."/>
      <w:lvlJc w:val="left"/>
      <w:pPr>
        <w:tabs>
          <w:tab w:val="left" w:pos="312"/>
        </w:tabs>
      </w:pPr>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16FC7745"/>
    <w:rsid w:val="19956693"/>
    <w:rsid w:val="19BD2CB7"/>
    <w:rsid w:val="23507ADC"/>
    <w:rsid w:val="37FC75FC"/>
    <w:rsid w:val="3B734866"/>
    <w:rsid w:val="57F87A68"/>
    <w:rsid w:val="6A8D01CD"/>
    <w:rsid w:val="6F5104C0"/>
    <w:rsid w:val="719B7B3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2021-07-26T03:11:48Z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7877FA75D5FC427B9955C8BDBFF911AB</vt:lpwstr>
  </property>
</Properties>
</file>