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疾病预防控制信息系统</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2021年11月23日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9"/>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疾病预防控制信息系统</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245000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490000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系统</w:t>
            </w:r>
            <w:r>
              <w:rPr>
                <w:rFonts w:hint="eastAsia" w:ascii="宋体" w:hAnsi="宋体" w:eastAsia="宋体" w:cs="宋体"/>
                <w:sz w:val="24"/>
                <w:szCs w:val="24"/>
              </w:rPr>
              <w:t>安装调试验收合格后</w:t>
            </w:r>
            <w:r>
              <w:rPr>
                <w:rFonts w:hint="eastAsia" w:ascii="宋体" w:hAnsi="宋体" w:eastAsia="宋体" w:cs="宋体"/>
                <w:sz w:val="24"/>
                <w:szCs w:val="24"/>
                <w:lang w:val="en-US" w:eastAsia="zh-CN"/>
              </w:rPr>
              <w:t>一个月内付合同金额的6</w:t>
            </w:r>
            <w:r>
              <w:rPr>
                <w:rFonts w:hint="eastAsia" w:ascii="宋体" w:hAnsi="宋体" w:eastAsia="宋体" w:cs="宋体"/>
                <w:sz w:val="24"/>
                <w:szCs w:val="24"/>
              </w:rPr>
              <w:t>0%；</w:t>
            </w:r>
            <w:r>
              <w:rPr>
                <w:rFonts w:hint="eastAsia" w:ascii="宋体" w:hAnsi="宋体" w:eastAsia="宋体" w:cs="宋体"/>
                <w:sz w:val="24"/>
                <w:szCs w:val="24"/>
                <w:lang w:val="en-US" w:eastAsia="zh-CN"/>
              </w:rPr>
              <w:t>使用半年后付30%，</w:t>
            </w:r>
            <w:r>
              <w:rPr>
                <w:rFonts w:hint="eastAsia" w:ascii="宋体" w:hAnsi="宋体" w:eastAsia="宋体" w:cs="宋体"/>
                <w:sz w:val="24"/>
                <w:szCs w:val="24"/>
              </w:rPr>
              <w:t>质保金为总金额的10%，待质保期到期</w:t>
            </w:r>
            <w:r>
              <w:rPr>
                <w:rFonts w:hint="eastAsia" w:ascii="宋体" w:hAnsi="宋体" w:eastAsia="宋体" w:cs="宋体"/>
                <w:sz w:val="24"/>
                <w:szCs w:val="24"/>
                <w:lang w:val="en-US" w:eastAsia="zh-CN"/>
              </w:rPr>
              <w:t>验收合格</w:t>
            </w:r>
            <w:r>
              <w:rPr>
                <w:rFonts w:hint="eastAsia" w:ascii="宋体" w:hAnsi="宋体" w:eastAsia="宋体" w:cs="宋体"/>
                <w:sz w:val="24"/>
                <w:szCs w:val="24"/>
              </w:rPr>
              <w:t>后</w:t>
            </w:r>
            <w:r>
              <w:rPr>
                <w:rFonts w:hint="eastAsia" w:ascii="宋体" w:hAnsi="宋体" w:eastAsia="宋体" w:cs="宋体"/>
                <w:sz w:val="24"/>
                <w:szCs w:val="24"/>
                <w:lang w:val="en-US" w:eastAsia="zh-CN"/>
              </w:rPr>
              <w:t>一个月内付清剩余10%</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pPr>
      <w:r>
        <w:rPr>
          <w:rFonts w:hint="eastAsia" w:ascii="宋体" w:hAnsi="宋体" w:eastAsia="宋体" w:cs="宋体"/>
          <w:sz w:val="24"/>
          <w:szCs w:val="24"/>
        </w:rPr>
        <w:t>项目基本情况：</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符合</w:t>
      </w:r>
      <w:r>
        <w:rPr>
          <w:rFonts w:hint="eastAsia" w:ascii="宋体" w:hAnsi="宋体" w:eastAsia="宋体" w:cs="宋体"/>
          <w:sz w:val="24"/>
          <w:szCs w:val="24"/>
          <w:u w:val="single"/>
        </w:rPr>
        <w:t>《中华人民共和国传染病防治法》、《国家卫生计生委关于调整部分法定传染病病种管理工作的通知》国卫疾控发[2013]28号、《传染病信息报告管理规范（2015年版）》国卫办疾控发〔2015〕53号、《国家卫生健康委办公厅关于调整肺结核传染病报告分类的通知》国卫办疾控函〔2019〕296号、《人口死亡信息登记管理规范（试行）》、《疾病控制基本数据集》（WS 375.9-2012）、《基于健康档案的区域卫生信息平台技术规范》（WS/T 448-2014）、《基于电子病历的医院信息平台技术规范》(WS/T 447-2014) 等法律、规范、通知的要求</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rPr>
        <w:t xml:space="preserve">                                                             </w:t>
      </w:r>
    </w:p>
    <w:p>
      <w:pPr>
        <w:spacing w:line="360" w:lineRule="auto"/>
        <w:ind w:left="0" w:right="57" w:firstLine="0"/>
      </w:pPr>
      <w:r>
        <w:rPr>
          <w:rFonts w:hint="eastAsia" w:ascii="宋体" w:hAnsi="宋体" w:eastAsia="宋体" w:cs="宋体"/>
          <w:sz w:val="24"/>
          <w:szCs w:val="24"/>
        </w:rPr>
        <w:t>货物需求一览表：</w:t>
      </w:r>
    </w:p>
    <w:tbl>
      <w:tblPr>
        <w:tblStyle w:val="8"/>
        <w:tblW w:w="0" w:type="auto"/>
        <w:tblInd w:w="-5" w:type="dxa"/>
        <w:tblLayout w:type="fixed"/>
        <w:tblCellMar>
          <w:top w:w="0" w:type="dxa"/>
          <w:left w:w="108" w:type="dxa"/>
          <w:bottom w:w="0" w:type="dxa"/>
          <w:right w:w="108" w:type="dxa"/>
        </w:tblCellMar>
      </w:tblPr>
      <w:tblGrid>
        <w:gridCol w:w="655"/>
        <w:gridCol w:w="2258"/>
        <w:gridCol w:w="2782"/>
        <w:gridCol w:w="1301"/>
        <w:gridCol w:w="1517"/>
      </w:tblGrid>
      <w:tr>
        <w:tblPrEx>
          <w:tblCellMar>
            <w:top w:w="0" w:type="dxa"/>
            <w:left w:w="108" w:type="dxa"/>
            <w:bottom w:w="0" w:type="dxa"/>
            <w:right w:w="108" w:type="dxa"/>
          </w:tblCellMar>
        </w:tblPrEx>
        <w:trPr>
          <w:trHeight w:val="755" w:hRule="atLeast"/>
        </w:trPr>
        <w:tc>
          <w:tcPr>
            <w:tcW w:w="655" w:type="dxa"/>
            <w:tcBorders>
              <w:top w:val="single" w:color="000000" w:sz="4" w:space="0"/>
              <w:left w:val="single" w:color="000000" w:sz="4" w:space="0"/>
              <w:bottom w:val="single" w:color="000000" w:sz="4" w:space="0"/>
            </w:tcBorders>
            <w:noWrap w:val="0"/>
            <w:vAlign w:val="center"/>
          </w:tcPr>
          <w:p>
            <w:pPr>
              <w:spacing w:line="360" w:lineRule="auto"/>
              <w:jc w:val="center"/>
            </w:pPr>
            <w:r>
              <w:rPr>
                <w:rFonts w:hint="eastAsia" w:ascii="宋体" w:hAnsi="宋体" w:eastAsia="宋体" w:cs="宋体"/>
                <w:sz w:val="24"/>
                <w:szCs w:val="24"/>
              </w:rPr>
              <w:t>编号</w:t>
            </w:r>
          </w:p>
        </w:tc>
        <w:tc>
          <w:tcPr>
            <w:tcW w:w="2258" w:type="dxa"/>
            <w:tcBorders>
              <w:top w:val="single" w:color="000000" w:sz="4" w:space="0"/>
              <w:left w:val="single" w:color="000000" w:sz="4" w:space="0"/>
              <w:bottom w:val="single" w:color="000000" w:sz="4" w:space="0"/>
            </w:tcBorders>
            <w:noWrap w:val="0"/>
            <w:vAlign w:val="center"/>
          </w:tcPr>
          <w:p>
            <w:pPr>
              <w:spacing w:line="360" w:lineRule="auto"/>
              <w:jc w:val="center"/>
            </w:pPr>
            <w:r>
              <w:rPr>
                <w:rFonts w:hint="eastAsia" w:ascii="宋体" w:hAnsi="宋体" w:eastAsia="宋体" w:cs="宋体"/>
                <w:sz w:val="24"/>
                <w:szCs w:val="24"/>
                <w:lang w:val="en-US" w:eastAsia="zh-CN" w:bidi="lo-LA"/>
              </w:rPr>
              <w:t>货物名称</w:t>
            </w:r>
          </w:p>
        </w:tc>
        <w:tc>
          <w:tcPr>
            <w:tcW w:w="2782" w:type="dxa"/>
            <w:tcBorders>
              <w:top w:val="single" w:color="000000" w:sz="4" w:space="0"/>
              <w:left w:val="single" w:color="000000" w:sz="4" w:space="0"/>
              <w:bottom w:val="single" w:color="000000" w:sz="4" w:space="0"/>
            </w:tcBorders>
            <w:noWrap w:val="0"/>
            <w:vAlign w:val="center"/>
          </w:tcPr>
          <w:p>
            <w:pPr>
              <w:spacing w:line="360" w:lineRule="auto"/>
              <w:jc w:val="center"/>
            </w:pPr>
            <w:r>
              <w:rPr>
                <w:rFonts w:hint="eastAsia" w:ascii="宋体" w:hAnsi="宋体" w:eastAsia="宋体" w:cs="宋体"/>
                <w:sz w:val="24"/>
                <w:szCs w:val="24"/>
                <w:lang w:val="en-US" w:eastAsia="zh-CN" w:bidi="lo-LA"/>
              </w:rPr>
              <w:t>技术参数和性能指标</w:t>
            </w:r>
          </w:p>
        </w:tc>
        <w:tc>
          <w:tcPr>
            <w:tcW w:w="1301" w:type="dxa"/>
            <w:tcBorders>
              <w:top w:val="single" w:color="000000" w:sz="4" w:space="0"/>
              <w:left w:val="single" w:color="000000" w:sz="4" w:space="0"/>
              <w:bottom w:val="single" w:color="000000" w:sz="4" w:space="0"/>
            </w:tcBorders>
            <w:noWrap w:val="0"/>
            <w:vAlign w:val="center"/>
          </w:tcPr>
          <w:p>
            <w:pPr>
              <w:spacing w:line="360" w:lineRule="auto"/>
              <w:jc w:val="center"/>
            </w:pPr>
            <w:r>
              <w:rPr>
                <w:rFonts w:hint="eastAsia" w:ascii="宋体" w:hAnsi="宋体" w:eastAsia="宋体" w:cs="宋体"/>
                <w:sz w:val="24"/>
                <w:szCs w:val="24"/>
              </w:rPr>
              <w:t>数</w:t>
            </w:r>
            <w:r>
              <w:rPr>
                <w:rFonts w:ascii="宋体" w:hAnsi="宋体" w:eastAsia="宋体" w:cs="宋体"/>
                <w:sz w:val="24"/>
                <w:szCs w:val="24"/>
              </w:rPr>
              <w:t xml:space="preserve"> </w:t>
            </w:r>
            <w:r>
              <w:rPr>
                <w:rFonts w:hint="eastAsia" w:ascii="宋体" w:hAnsi="宋体" w:eastAsia="宋体" w:cs="宋体"/>
                <w:sz w:val="24"/>
                <w:szCs w:val="24"/>
              </w:rPr>
              <w:t>量</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pPr>
            <w:r>
              <w:rPr>
                <w:rFonts w:hint="eastAsia" w:ascii="宋体" w:hAnsi="宋体" w:eastAsia="宋体" w:cs="宋体"/>
                <w:sz w:val="24"/>
                <w:szCs w:val="24"/>
                <w:lang w:val="en-US" w:eastAsia="zh-CN" w:bidi="lo-LA"/>
              </w:rPr>
              <w:t>单位</w:t>
            </w:r>
          </w:p>
        </w:tc>
      </w:tr>
      <w:tr>
        <w:tblPrEx>
          <w:tblCellMar>
            <w:top w:w="0" w:type="dxa"/>
            <w:left w:w="108" w:type="dxa"/>
            <w:bottom w:w="0" w:type="dxa"/>
            <w:right w:w="108" w:type="dxa"/>
          </w:tblCellMar>
        </w:tblPrEx>
        <w:trPr>
          <w:trHeight w:val="325" w:hRule="atLeast"/>
        </w:trPr>
        <w:tc>
          <w:tcPr>
            <w:tcW w:w="655" w:type="dxa"/>
            <w:tcBorders>
              <w:top w:val="single" w:color="000000" w:sz="4" w:space="0"/>
              <w:left w:val="single" w:color="000000" w:sz="4" w:space="0"/>
              <w:bottom w:val="single" w:color="000000" w:sz="4" w:space="0"/>
            </w:tcBorders>
            <w:noWrap w:val="0"/>
            <w:vAlign w:val="center"/>
          </w:tcPr>
          <w:p>
            <w:pPr>
              <w:spacing w:line="360" w:lineRule="auto"/>
              <w:jc w:val="center"/>
            </w:pPr>
            <w:r>
              <w:rPr>
                <w:rFonts w:ascii="宋体" w:hAnsi="宋体" w:eastAsia="宋体" w:cs="宋体"/>
                <w:sz w:val="24"/>
                <w:szCs w:val="24"/>
              </w:rPr>
              <w:t>1</w:t>
            </w:r>
          </w:p>
        </w:tc>
        <w:tc>
          <w:tcPr>
            <w:tcW w:w="2258" w:type="dxa"/>
            <w:tcBorders>
              <w:top w:val="single" w:color="000000" w:sz="4" w:space="0"/>
              <w:left w:val="single" w:color="000000" w:sz="4" w:space="0"/>
              <w:bottom w:val="single" w:color="000000" w:sz="4" w:space="0"/>
            </w:tcBorders>
            <w:noWrap w:val="0"/>
            <w:vAlign w:val="center"/>
          </w:tcPr>
          <w:p>
            <w:pPr>
              <w:spacing w:line="360" w:lineRule="auto"/>
              <w:jc w:val="center"/>
            </w:pPr>
            <w:r>
              <w:rPr>
                <w:rFonts w:hint="eastAsia" w:ascii="宋体" w:hAnsi="宋体" w:eastAsia="宋体" w:cs="宋体"/>
                <w:sz w:val="24"/>
                <w:szCs w:val="24"/>
                <w:lang w:val="en-US" w:eastAsia="zh-CN" w:bidi="lo-LA"/>
              </w:rPr>
              <w:t>疾病预防控制信息系统</w:t>
            </w:r>
          </w:p>
        </w:tc>
        <w:tc>
          <w:tcPr>
            <w:tcW w:w="2782" w:type="dxa"/>
            <w:tcBorders>
              <w:top w:val="single" w:color="000000" w:sz="4" w:space="0"/>
              <w:left w:val="single" w:color="000000" w:sz="4" w:space="0"/>
              <w:bottom w:val="single" w:color="000000" w:sz="4" w:space="0"/>
            </w:tcBorders>
            <w:noWrap w:val="0"/>
            <w:vAlign w:val="center"/>
          </w:tcPr>
          <w:p>
            <w:pPr>
              <w:spacing w:line="360" w:lineRule="auto"/>
              <w:jc w:val="center"/>
            </w:pPr>
            <w:r>
              <w:rPr>
                <w:rFonts w:hint="eastAsia" w:ascii="宋体" w:hAnsi="宋体" w:eastAsia="宋体" w:cs="宋体"/>
                <w:sz w:val="24"/>
                <w:szCs w:val="24"/>
                <w:lang w:val="en-US" w:eastAsia="zh-CN" w:bidi="lo-LA"/>
              </w:rPr>
              <w:t>技术参数详见附表1</w:t>
            </w:r>
          </w:p>
        </w:tc>
        <w:tc>
          <w:tcPr>
            <w:tcW w:w="1301" w:type="dxa"/>
            <w:tcBorders>
              <w:top w:val="single" w:color="000000" w:sz="4" w:space="0"/>
              <w:left w:val="single" w:color="000000" w:sz="4" w:space="0"/>
              <w:bottom w:val="single" w:color="000000" w:sz="4" w:space="0"/>
            </w:tcBorders>
            <w:noWrap w:val="0"/>
            <w:vAlign w:val="center"/>
          </w:tcPr>
          <w:p>
            <w:pPr>
              <w:spacing w:line="360" w:lineRule="auto"/>
              <w:jc w:val="center"/>
            </w:pPr>
            <w:r>
              <w:rPr>
                <w:rFonts w:hint="eastAsia" w:ascii="宋体" w:hAnsi="宋体" w:eastAsia="宋体" w:cs="宋体"/>
                <w:sz w:val="24"/>
                <w:szCs w:val="24"/>
                <w:lang w:val="en-US" w:eastAsia="zh-CN"/>
              </w:rPr>
              <w:t>2</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pPr>
            <w:r>
              <w:rPr>
                <w:rFonts w:hint="eastAsia" w:ascii="宋体" w:hAnsi="宋体" w:eastAsia="宋体" w:cs="宋体"/>
                <w:sz w:val="24"/>
                <w:szCs w:val="24"/>
                <w:lang w:val="en-US" w:eastAsia="zh-CN"/>
              </w:rPr>
              <w:t>套</w:t>
            </w:r>
          </w:p>
        </w:tc>
      </w:tr>
    </w:tbl>
    <w:p>
      <w:pPr>
        <w:spacing w:line="360" w:lineRule="auto"/>
        <w:rPr>
          <w:rFonts w:hint="eastAsia" w:ascii="宋体" w:hAnsi="宋体" w:eastAsia="宋体" w:cs="宋体"/>
          <w:sz w:val="24"/>
          <w:szCs w:val="24"/>
        </w:rPr>
      </w:pPr>
    </w:p>
    <w:p>
      <w:pPr>
        <w:pStyle w:val="2"/>
        <w:ind w:left="0" w:right="0" w:firstLine="0"/>
        <w:rPr>
          <w:rFonts w:hint="eastAsia" w:ascii="宋体" w:hAnsi="宋体" w:eastAsia="宋体" w:cs="宋体"/>
          <w:sz w:val="24"/>
          <w:szCs w:val="24"/>
        </w:rPr>
      </w:pPr>
    </w:p>
    <w:p>
      <w:pPr>
        <w:spacing w:line="240" w:lineRule="auto"/>
        <w:jc w:val="left"/>
      </w:pPr>
      <w:r>
        <w:rPr>
          <w:rFonts w:hint="eastAsia" w:ascii="宋体" w:hAnsi="宋体" w:eastAsia="宋体" w:cs="宋体"/>
          <w:sz w:val="24"/>
          <w:szCs w:val="24"/>
          <w:lang w:val="en-US" w:eastAsia="zh-CN" w:bidi="lo-LA"/>
        </w:rPr>
        <w:t>附表1：技术参数和性能指标。货物名称：</w:t>
      </w:r>
      <w:r>
        <w:rPr>
          <w:rFonts w:hint="eastAsia" w:ascii="宋体" w:hAnsi="宋体" w:eastAsia="宋体" w:cs="宋体"/>
          <w:b/>
          <w:bCs/>
          <w:sz w:val="24"/>
          <w:szCs w:val="24"/>
          <w:u w:val="single"/>
          <w:lang w:val="en-US" w:eastAsia="zh-CN" w:bidi="lo-LA"/>
        </w:rPr>
        <w:t xml:space="preserve"> 疾病预防控制信息系统 </w:t>
      </w:r>
      <w:r>
        <w:rPr>
          <w:rFonts w:hint="eastAsia" w:ascii="宋体" w:hAnsi="宋体" w:eastAsia="宋体" w:cs="宋体"/>
          <w:sz w:val="24"/>
          <w:szCs w:val="24"/>
          <w:lang w:val="en-US" w:eastAsia="zh-CN" w:bidi="lo-LA"/>
        </w:rPr>
        <w:t>。</w:t>
      </w:r>
    </w:p>
    <w:tbl>
      <w:tblPr>
        <w:tblStyle w:val="8"/>
        <w:tblW w:w="0" w:type="auto"/>
        <w:tblInd w:w="-5" w:type="dxa"/>
        <w:tblLayout w:type="fixed"/>
        <w:tblCellMar>
          <w:top w:w="0" w:type="dxa"/>
          <w:left w:w="108" w:type="dxa"/>
          <w:bottom w:w="0" w:type="dxa"/>
          <w:right w:w="108" w:type="dxa"/>
        </w:tblCellMar>
      </w:tblPr>
      <w:tblGrid>
        <w:gridCol w:w="626"/>
        <w:gridCol w:w="535"/>
        <w:gridCol w:w="737"/>
        <w:gridCol w:w="6800"/>
      </w:tblGrid>
      <w:tr>
        <w:tblPrEx>
          <w:tblCellMar>
            <w:top w:w="0" w:type="dxa"/>
            <w:left w:w="108" w:type="dxa"/>
            <w:bottom w:w="0" w:type="dxa"/>
            <w:right w:w="108" w:type="dxa"/>
          </w:tblCellMar>
        </w:tblPrEx>
        <w:trPr>
          <w:trHeight w:val="1030" w:hRule="atLeast"/>
        </w:trPr>
        <w:tc>
          <w:tcPr>
            <w:tcW w:w="626" w:type="dxa"/>
            <w:tcBorders>
              <w:top w:val="single" w:color="000000" w:sz="4" w:space="0"/>
              <w:left w:val="single" w:color="000000" w:sz="4" w:space="0"/>
              <w:bottom w:val="single" w:color="000000" w:sz="4" w:space="0"/>
            </w:tcBorders>
            <w:noWrap w:val="0"/>
            <w:vAlign w:val="center"/>
          </w:tcPr>
          <w:p>
            <w:pPr>
              <w:keepNext w:val="0"/>
              <w:keepLines w:val="0"/>
              <w:widowControl/>
              <w:kinsoku/>
              <w:overflowPunct/>
              <w:autoSpaceDE/>
              <w:bidi w:val="0"/>
              <w:snapToGrid w:val="0"/>
              <w:spacing w:line="120" w:lineRule="auto"/>
              <w:jc w:val="center"/>
              <w:textAlignment w:val="auto"/>
            </w:pPr>
            <w:r>
              <w:rPr>
                <w:rFonts w:hint="eastAsia" w:ascii="宋体" w:hAnsi="宋体" w:eastAsia="宋体" w:cs="宋体"/>
                <w:sz w:val="24"/>
                <w:szCs w:val="24"/>
                <w:lang w:val="en-US" w:eastAsia="zh-CN" w:bidi="lo-LA"/>
              </w:rPr>
              <w:t>参数性质</w:t>
            </w:r>
          </w:p>
        </w:tc>
        <w:tc>
          <w:tcPr>
            <w:tcW w:w="535" w:type="dxa"/>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rPr>
              <w:t>编号</w:t>
            </w: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技术参数和性能指标</w:t>
            </w:r>
          </w:p>
        </w:tc>
      </w:tr>
      <w:tr>
        <w:tblPrEx>
          <w:tblCellMar>
            <w:top w:w="0" w:type="dxa"/>
            <w:left w:w="108" w:type="dxa"/>
            <w:bottom w:w="0" w:type="dxa"/>
            <w:right w:w="108" w:type="dxa"/>
          </w:tblCellMar>
        </w:tblPrEx>
        <w:trPr>
          <w:trHeight w:val="712" w:hRule="atLeast"/>
        </w:trPr>
        <w:tc>
          <w:tcPr>
            <w:tcW w:w="626" w:type="dxa"/>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lang w:bidi="lo-LA"/>
              </w:rPr>
              <w:t>*</w:t>
            </w:r>
          </w:p>
        </w:tc>
        <w:tc>
          <w:tcPr>
            <w:tcW w:w="535" w:type="dxa"/>
            <w:tcBorders>
              <w:top w:val="single" w:color="000000" w:sz="4" w:space="0"/>
              <w:left w:val="single" w:color="000000" w:sz="4" w:space="0"/>
              <w:bottom w:val="single" w:color="000000" w:sz="4" w:space="0"/>
            </w:tcBorders>
            <w:noWrap w:val="0"/>
            <w:vAlign w:val="center"/>
          </w:tcPr>
          <w:p>
            <w:pPr>
              <w:spacing w:line="240" w:lineRule="auto"/>
              <w:jc w:val="center"/>
            </w:pPr>
            <w:r>
              <w:rPr>
                <w:rFonts w:ascii="宋体" w:hAnsi="宋体" w:eastAsia="宋体" w:cs="宋体"/>
                <w:sz w:val="24"/>
                <w:szCs w:val="24"/>
                <w:lang w:bidi="lo-LA"/>
              </w:rPr>
              <w:t>1</w:t>
            </w: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参与《WS 670-2021 医疗机构感染监测基本数据集》起草编辑工作，符合国家最新医疗机构感染监测基本数据集标准，需提供佐证材料。</w:t>
            </w:r>
          </w:p>
        </w:tc>
      </w:tr>
      <w:tr>
        <w:tblPrEx>
          <w:tblCellMar>
            <w:top w:w="0" w:type="dxa"/>
            <w:left w:w="108" w:type="dxa"/>
            <w:bottom w:w="0" w:type="dxa"/>
            <w:right w:w="108" w:type="dxa"/>
          </w:tblCellMar>
        </w:tblPrEx>
        <w:trPr>
          <w:trHeight w:val="365" w:hRule="atLeast"/>
        </w:trPr>
        <w:tc>
          <w:tcPr>
            <w:tcW w:w="626" w:type="dxa"/>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2</w:t>
            </w: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传染病预警提醒功能。支持自动诊断、筛查出疑似传染病例，自动生成预警信息并且提醒到临床医师和传染病报告管理人员。</w:t>
            </w:r>
          </w:p>
        </w:tc>
      </w:tr>
      <w:tr>
        <w:tblPrEx>
          <w:tblCellMar>
            <w:top w:w="0" w:type="dxa"/>
            <w:left w:w="108" w:type="dxa"/>
            <w:bottom w:w="0" w:type="dxa"/>
            <w:right w:w="108" w:type="dxa"/>
          </w:tblCellMar>
        </w:tblPrEx>
        <w:trPr>
          <w:trHeight w:val="507" w:hRule="atLeast"/>
        </w:trPr>
        <w:tc>
          <w:tcPr>
            <w:tcW w:w="626"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3</w:t>
            </w: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bidi="lo-LA"/>
              </w:rPr>
              <w:t>临</w:t>
            </w:r>
            <w:r>
              <w:rPr>
                <w:rFonts w:hint="eastAsia" w:ascii="宋体" w:hAnsi="宋体" w:eastAsia="宋体" w:cs="宋体"/>
                <w:sz w:val="24"/>
                <w:szCs w:val="24"/>
                <w:lang w:val="en-US" w:eastAsia="zh-CN" w:bidi="lo-LA"/>
              </w:rPr>
              <w:t>床医师报卡助手功能。支持报告卡填卡辅助、订正修改、作废、查询、导出、打印功能。</w:t>
            </w:r>
          </w:p>
        </w:tc>
      </w:tr>
      <w:tr>
        <w:tblPrEx>
          <w:tblCellMar>
            <w:top w:w="0" w:type="dxa"/>
            <w:left w:w="108" w:type="dxa"/>
            <w:bottom w:w="0" w:type="dxa"/>
            <w:right w:w="108" w:type="dxa"/>
          </w:tblCellMar>
        </w:tblPrEx>
        <w:trPr>
          <w:trHeight w:val="532"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1）向临床医师提供传染病报告卡、死亡报告卡等报卡上报功能。</w:t>
            </w:r>
          </w:p>
        </w:tc>
      </w:tr>
      <w:tr>
        <w:tblPrEx>
          <w:tblCellMar>
            <w:top w:w="0" w:type="dxa"/>
            <w:left w:w="108" w:type="dxa"/>
            <w:bottom w:w="0" w:type="dxa"/>
            <w:right w:w="108" w:type="dxa"/>
          </w:tblCellMar>
        </w:tblPrEx>
        <w:trPr>
          <w:trHeight w:val="705"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2）向临床医师提供对已经明确诊断的患者信息，并建立传染病报告卡片、死亡报告卡。</w:t>
            </w:r>
          </w:p>
        </w:tc>
      </w:tr>
      <w:tr>
        <w:tblPrEx>
          <w:tblCellMar>
            <w:top w:w="0" w:type="dxa"/>
            <w:left w:w="108" w:type="dxa"/>
            <w:bottom w:w="0" w:type="dxa"/>
            <w:right w:w="108" w:type="dxa"/>
          </w:tblCellMar>
        </w:tblPrEx>
        <w:trPr>
          <w:trHeight w:val="404"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3）支持独立报卡，不依赖任何其他系统可以实现卡片上报功能。</w:t>
            </w:r>
          </w:p>
        </w:tc>
      </w:tr>
      <w:tr>
        <w:tblPrEx>
          <w:tblCellMar>
            <w:top w:w="0" w:type="dxa"/>
            <w:left w:w="108" w:type="dxa"/>
            <w:bottom w:w="0" w:type="dxa"/>
            <w:right w:w="108" w:type="dxa"/>
          </w:tblCellMar>
        </w:tblPrEx>
        <w:trPr>
          <w:trHeight w:val="338"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4）支持医生搜索患者主动上报功能。</w:t>
            </w:r>
          </w:p>
        </w:tc>
      </w:tr>
      <w:tr>
        <w:tblPrEx>
          <w:tblCellMar>
            <w:top w:w="0" w:type="dxa"/>
            <w:left w:w="108" w:type="dxa"/>
            <w:bottom w:w="0" w:type="dxa"/>
            <w:right w:w="108" w:type="dxa"/>
          </w:tblCellMar>
        </w:tblPrEx>
        <w:trPr>
          <w:trHeight w:val="398"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5）对于历史已经上报过报卡的患者提示历史已经上报过。</w:t>
            </w:r>
          </w:p>
        </w:tc>
      </w:tr>
      <w:tr>
        <w:tblPrEx>
          <w:tblCellMar>
            <w:top w:w="0" w:type="dxa"/>
            <w:left w:w="108" w:type="dxa"/>
            <w:bottom w:w="0" w:type="dxa"/>
            <w:right w:w="108" w:type="dxa"/>
          </w:tblCellMar>
        </w:tblPrEx>
        <w:trPr>
          <w:trHeight w:val="507"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53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6）对于患者历史已经上报过的疾病，在一定时间内，不再产生预警。</w:t>
            </w:r>
          </w:p>
        </w:tc>
      </w:tr>
      <w:tr>
        <w:tblPrEx>
          <w:tblCellMar>
            <w:top w:w="0" w:type="dxa"/>
            <w:left w:w="108" w:type="dxa"/>
            <w:bottom w:w="0" w:type="dxa"/>
            <w:right w:w="108" w:type="dxa"/>
          </w:tblCellMar>
        </w:tblPrEx>
        <w:trPr>
          <w:trHeight w:val="365" w:hRule="atLeast"/>
        </w:trPr>
        <w:tc>
          <w:tcPr>
            <w:tcW w:w="626" w:type="dxa"/>
            <w:vMerge w:val="restart"/>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4</w:t>
            </w:r>
          </w:p>
        </w:tc>
        <w:tc>
          <w:tcPr>
            <w:tcW w:w="737" w:type="dxa"/>
            <w:vMerge w:val="restart"/>
            <w:tcBorders>
              <w:top w:val="single" w:color="000000" w:sz="4" w:space="0"/>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支持各类报卡</w:t>
            </w:r>
          </w:p>
          <w:p>
            <w:pPr>
              <w:spacing w:line="240" w:lineRule="auto"/>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1）向临床医师提供传染病相关报告卡：中华人民共和国传染病报告卡、传染病报告卡艾滋病性病副卡、乙肝病例附卡、肺结核病人或疑似肺结核病人转诊单、AFP病例报告卡、新型冠状病毒肺炎副卡。</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2）向临床医师提供死亡相关报告卡：死亡病例报告卡。</w:t>
            </w:r>
          </w:p>
        </w:tc>
      </w:tr>
      <w:tr>
        <w:tblPrEx>
          <w:tblCellMar>
            <w:top w:w="0" w:type="dxa"/>
            <w:left w:w="108" w:type="dxa"/>
            <w:bottom w:w="0" w:type="dxa"/>
            <w:right w:w="108" w:type="dxa"/>
          </w:tblCellMar>
        </w:tblPrEx>
        <w:trPr>
          <w:trHeight w:val="1119"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3）向临床医师提供慢性病相关报告卡：高血压病例报告卡、糖尿病病例报告卡、冠心病病例报告卡、脑卒中病例管理卡、恶性肿瘤病例管理卡。</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4）向临床医师提供食源性相关报告卡：食源性报卡。</w:t>
            </w:r>
          </w:p>
        </w:tc>
      </w:tr>
      <w:tr>
        <w:tblPrEx>
          <w:tblCellMar>
            <w:top w:w="0" w:type="dxa"/>
            <w:left w:w="108" w:type="dxa"/>
            <w:bottom w:w="0" w:type="dxa"/>
            <w:right w:w="108" w:type="dxa"/>
          </w:tblCellMar>
        </w:tblPrEx>
        <w:trPr>
          <w:trHeight w:val="365" w:hRule="atLeast"/>
        </w:trPr>
        <w:tc>
          <w:tcPr>
            <w:tcW w:w="626" w:type="dxa"/>
            <w:vMerge w:val="restart"/>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5</w:t>
            </w:r>
          </w:p>
        </w:tc>
        <w:tc>
          <w:tcPr>
            <w:tcW w:w="737" w:type="dxa"/>
            <w:vMerge w:val="restart"/>
            <w:tcBorders>
              <w:top w:val="single" w:color="000000" w:sz="4" w:space="0"/>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登录功能</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在门诊医生工作站和住院医生工作站等系统提供身份认证功能支持下，向临床医师提供使用账户登录报卡助手系统的功能。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向临床医师提供不用登录也可报卡的功能。</w:t>
            </w:r>
          </w:p>
        </w:tc>
      </w:tr>
      <w:tr>
        <w:tblPrEx>
          <w:tblCellMar>
            <w:top w:w="0" w:type="dxa"/>
            <w:left w:w="108" w:type="dxa"/>
            <w:bottom w:w="0" w:type="dxa"/>
            <w:right w:w="108" w:type="dxa"/>
          </w:tblCellMar>
        </w:tblPrEx>
        <w:trPr>
          <w:trHeight w:val="624" w:hRule="atLeast"/>
        </w:trPr>
        <w:tc>
          <w:tcPr>
            <w:tcW w:w="626"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6</w:t>
            </w:r>
          </w:p>
        </w:tc>
        <w:tc>
          <w:tcPr>
            <w:tcW w:w="737" w:type="dxa"/>
            <w:vMerge w:val="restart"/>
            <w:tcBorders>
              <w:top w:val="single" w:color="000000" w:sz="4" w:space="0"/>
              <w:left w:val="single" w:color="000000" w:sz="4" w:space="0"/>
            </w:tcBorders>
            <w:noWrap w:val="0"/>
            <w:vAlign w:val="center"/>
          </w:tcPr>
          <w:p>
            <w:pPr>
              <w:spacing w:line="240" w:lineRule="auto"/>
              <w:jc w:val="left"/>
            </w:pPr>
            <w:r>
              <w:rPr>
                <w:rFonts w:hint="eastAsia" w:ascii="宋体" w:hAnsi="宋体" w:eastAsia="宋体" w:cs="宋体"/>
                <w:sz w:val="24"/>
                <w:szCs w:val="24"/>
                <w:lang w:bidi="lo-LA"/>
              </w:rPr>
              <w:t>CDC</w:t>
            </w:r>
            <w:r>
              <w:rPr>
                <w:rFonts w:hint="eastAsia" w:ascii="宋体" w:hAnsi="宋体" w:eastAsia="宋体" w:cs="宋体"/>
                <w:sz w:val="24"/>
                <w:szCs w:val="24"/>
                <w:lang w:val="en-US" w:eastAsia="zh-CN" w:bidi="lo-LA"/>
              </w:rPr>
              <w:t>直</w:t>
            </w:r>
            <w:r>
              <w:rPr>
                <w:rFonts w:hint="eastAsia" w:ascii="宋体" w:hAnsi="宋体" w:eastAsia="宋体" w:cs="宋体"/>
                <w:sz w:val="24"/>
                <w:szCs w:val="24"/>
                <w:lang w:bidi="lo-LA"/>
              </w:rPr>
              <w:t>报</w:t>
            </w:r>
            <w:r>
              <w:rPr>
                <w:rFonts w:hint="eastAsia" w:ascii="宋体" w:hAnsi="宋体" w:eastAsia="宋体" w:cs="宋体"/>
                <w:sz w:val="24"/>
                <w:szCs w:val="24"/>
                <w:lang w:val="en-US" w:eastAsia="zh-CN" w:bidi="lo-LA"/>
              </w:rPr>
              <w:t>功能</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1）向传染病报告管理人员提供导出符合CDC上报要求的传染病病例报告卡功能。</w:t>
            </w:r>
          </w:p>
        </w:tc>
      </w:tr>
      <w:tr>
        <w:tblPrEx>
          <w:tblCellMar>
            <w:top w:w="0" w:type="dxa"/>
            <w:left w:w="108" w:type="dxa"/>
            <w:bottom w:w="0" w:type="dxa"/>
            <w:right w:w="108" w:type="dxa"/>
          </w:tblCellMar>
        </w:tblPrEx>
        <w:trPr>
          <w:trHeight w:val="711"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2）支持国家提供的直报接口对接完成上报。</w:t>
            </w:r>
          </w:p>
        </w:tc>
      </w:tr>
      <w:tr>
        <w:tblPrEx>
          <w:tblCellMar>
            <w:top w:w="0" w:type="dxa"/>
            <w:left w:w="108" w:type="dxa"/>
            <w:bottom w:w="0" w:type="dxa"/>
            <w:right w:w="108" w:type="dxa"/>
          </w:tblCellMar>
        </w:tblPrEx>
        <w:trPr>
          <w:trHeight w:val="365" w:hRule="atLeast"/>
        </w:trPr>
        <w:tc>
          <w:tcPr>
            <w:tcW w:w="626" w:type="dxa"/>
            <w:vMerge w:val="restart"/>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7</w:t>
            </w:r>
          </w:p>
        </w:tc>
        <w:tc>
          <w:tcPr>
            <w:tcW w:w="737" w:type="dxa"/>
            <w:vMerge w:val="restart"/>
            <w:tcBorders>
              <w:top w:val="single" w:color="000000" w:sz="4" w:space="0"/>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支持各类统计报表</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0" w:right="0" w:firstLine="0"/>
              <w:jc w:val="left"/>
            </w:pPr>
            <w:r>
              <w:rPr>
                <w:rFonts w:hint="default" w:ascii="宋体" w:hAnsi="宋体" w:eastAsia="宋体" w:cs="宋体"/>
                <w:sz w:val="24"/>
                <w:szCs w:val="24"/>
                <w:lang w:val="en-US" w:eastAsia="zh-CN" w:bidi="lo-LA"/>
              </w:rPr>
              <w:t>1</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向传染病报告管理人员提供按照传染病级别统计甲类传染病监测、乙类传染病监测、丙类传染病监测、甲乙类传染病监测、甲乙丙类传染病监测。</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0" w:right="0" w:firstLine="0"/>
              <w:jc w:val="left"/>
            </w:pPr>
            <w:r>
              <w:rPr>
                <w:rFonts w:hint="default" w:ascii="宋体" w:hAnsi="宋体" w:eastAsia="宋体" w:cs="宋体"/>
                <w:sz w:val="24"/>
                <w:szCs w:val="24"/>
                <w:lang w:val="en-US" w:eastAsia="zh-CN" w:bidi="lo-LA"/>
              </w:rPr>
              <w:t>2</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向传染病报告管理人员提供按照传染病传播途径统计肠道类传染病监测、呼吸道类传染病监测、自然疫源地及虫媒类传染病监测、血源及性类传染病监测。</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0" w:right="0" w:firstLine="0"/>
              <w:jc w:val="left"/>
            </w:pPr>
            <w:r>
              <w:rPr>
                <w:rFonts w:hint="default" w:ascii="宋体" w:hAnsi="宋体" w:eastAsia="宋体" w:cs="宋体"/>
                <w:sz w:val="24"/>
                <w:szCs w:val="24"/>
                <w:lang w:val="en-US" w:eastAsia="zh-CN" w:bidi="lo-LA"/>
              </w:rPr>
              <w:t>3</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向传染病报告管理人员提供按照患者属性统计年龄构成比、职业构成比、工作单位构成比、地区构成比。</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0" w:right="0" w:firstLine="0"/>
              <w:jc w:val="left"/>
            </w:pPr>
            <w:r>
              <w:rPr>
                <w:rFonts w:hint="default" w:ascii="宋体" w:hAnsi="宋体" w:eastAsia="宋体" w:cs="宋体"/>
                <w:sz w:val="24"/>
                <w:szCs w:val="24"/>
                <w:lang w:val="en-US" w:eastAsia="zh-CN" w:bidi="lo-LA"/>
              </w:rPr>
              <w:t>4</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流感病例统计功能，门诊病人中流感病人数量的统计。</w:t>
            </w:r>
          </w:p>
        </w:tc>
      </w:tr>
      <w:tr>
        <w:tblPrEx>
          <w:tblCellMar>
            <w:top w:w="0" w:type="dxa"/>
            <w:left w:w="108" w:type="dxa"/>
            <w:bottom w:w="0" w:type="dxa"/>
            <w:right w:w="108" w:type="dxa"/>
          </w:tblCellMar>
        </w:tblPrEx>
        <w:trPr>
          <w:trHeight w:val="365" w:hRule="atLeast"/>
        </w:trPr>
        <w:tc>
          <w:tcPr>
            <w:tcW w:w="626" w:type="dxa"/>
            <w:vMerge w:val="restart"/>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8</w:t>
            </w:r>
          </w:p>
        </w:tc>
        <w:tc>
          <w:tcPr>
            <w:tcW w:w="737" w:type="dxa"/>
            <w:vMerge w:val="restart"/>
            <w:tcBorders>
              <w:top w:val="single" w:color="000000" w:sz="4" w:space="0"/>
              <w:left w:val="single" w:color="000000" w:sz="4" w:space="0"/>
              <w:bottom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就诊日志相关功能</w:t>
            </w:r>
          </w:p>
          <w:p>
            <w:pPr>
              <w:numPr>
                <w:ilvl w:val="0"/>
                <w:numId w:val="0"/>
              </w:numPr>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门诊日志</w:t>
            </w:r>
          </w:p>
          <w:p>
            <w:pPr>
              <w:spacing w:line="240" w:lineRule="auto"/>
              <w:jc w:val="left"/>
            </w:pPr>
            <w:r>
              <w:rPr>
                <w:rFonts w:hint="default" w:ascii="宋体" w:hAnsi="宋体" w:eastAsia="宋体" w:cs="宋体"/>
                <w:sz w:val="24"/>
                <w:szCs w:val="24"/>
                <w:lang w:val="en-US" w:eastAsia="zh-CN" w:bidi="lo-LA"/>
              </w:rPr>
              <w:t>1</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向传染病报告管理人员提供医疗机构门诊日志浏览功能。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2</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向传染病报告管理人员提供医疗机构门诊报卡情况。</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3</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向传染病报告管理人员提供修改门诊就诊日志功能。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4</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向传染病报告管理人员提供医疗机构门诊日志传染病固定组合条件查询功能。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5</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向传染病报告管理人员提供医疗机构门诊日志传染病自由条件组合查询功能。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6</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向传染病报告管理人员提供医疗机构门诊日志传染病阳性检测结果查询功能。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7</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 xml:space="preserve"> 向传染病报告管理人员提供医疗机构门诊日志传染病影像阳性结果查询功能。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住院日志</w:t>
            </w:r>
          </w:p>
          <w:p>
            <w:pPr>
              <w:spacing w:line="240" w:lineRule="auto"/>
              <w:jc w:val="left"/>
            </w:pPr>
            <w:r>
              <w:rPr>
                <w:rFonts w:hint="default" w:ascii="宋体" w:hAnsi="宋体" w:eastAsia="宋体" w:cs="宋体"/>
                <w:sz w:val="24"/>
                <w:szCs w:val="24"/>
                <w:lang w:val="en-US" w:eastAsia="zh-CN" w:bidi="lo-LA"/>
              </w:rPr>
              <w:t>1</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向传染病报告管理人员提供医疗机构住院日志浏览功能。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2</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向传染病报告管理人员提供医疗机构住院报卡情况、迟报情况、漏报情况、迟漏报提醒情况。</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3</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向传染病报告管理人员提供修改住院就诊日志功能。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4</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向传染病报告管理人员提供医疗机构住院日志传染病固定组合条件查询功能。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5</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向传染病报告管理人员提供医疗机构住院日志传染病自由条件组合查询功能。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6</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向传染病报告管理人员提供医疗机构住院日志传染病阳性检测结果查询功能。</w:t>
            </w:r>
          </w:p>
        </w:tc>
      </w:tr>
      <w:tr>
        <w:tblPrEx>
          <w:tblCellMar>
            <w:top w:w="0" w:type="dxa"/>
            <w:left w:w="108" w:type="dxa"/>
            <w:bottom w:w="0" w:type="dxa"/>
            <w:right w:w="108" w:type="dxa"/>
          </w:tblCellMar>
        </w:tblPrEx>
        <w:trPr>
          <w:trHeight w:val="365"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default" w:ascii="宋体" w:hAnsi="宋体" w:eastAsia="宋体" w:cs="宋体"/>
                <w:sz w:val="24"/>
                <w:szCs w:val="24"/>
                <w:lang w:val="en-US" w:eastAsia="zh-CN" w:bidi="lo-LA"/>
              </w:rPr>
              <w:t>7</w:t>
            </w:r>
            <w:r>
              <w:rPr>
                <w:rFonts w:hint="eastAsia" w:ascii="宋体" w:hAnsi="宋体" w:eastAsia="宋体" w:cs="宋体"/>
                <w:sz w:val="24"/>
                <w:szCs w:val="24"/>
                <w:lang w:val="en-US" w:eastAsia="zh-CN" w:bidi="lo-LA"/>
              </w:rPr>
              <w:t>）</w:t>
            </w:r>
            <w:r>
              <w:rPr>
                <w:rFonts w:hint="default" w:ascii="宋体" w:hAnsi="宋体" w:eastAsia="宋体" w:cs="宋体"/>
                <w:sz w:val="24"/>
                <w:szCs w:val="24"/>
                <w:lang w:val="en-US" w:eastAsia="zh-CN" w:bidi="lo-LA"/>
              </w:rPr>
              <w:t>向传染病报告管理人员提供医疗机构住院日志传染病影像阳性结果查询功能。</w:t>
            </w:r>
          </w:p>
        </w:tc>
      </w:tr>
      <w:tr>
        <w:tblPrEx>
          <w:tblCellMar>
            <w:top w:w="0" w:type="dxa"/>
            <w:left w:w="108" w:type="dxa"/>
            <w:bottom w:w="0" w:type="dxa"/>
            <w:right w:w="108" w:type="dxa"/>
          </w:tblCellMar>
        </w:tblPrEx>
        <w:trPr>
          <w:trHeight w:val="635" w:hRule="atLeast"/>
        </w:trPr>
        <w:tc>
          <w:tcPr>
            <w:tcW w:w="626" w:type="dxa"/>
            <w:vMerge w:val="restart"/>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restart"/>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9</w:t>
            </w:r>
          </w:p>
        </w:tc>
        <w:tc>
          <w:tcPr>
            <w:tcW w:w="737" w:type="dxa"/>
            <w:vMerge w:val="restart"/>
            <w:tcBorders>
              <w:top w:val="single" w:color="000000" w:sz="4" w:space="0"/>
              <w:left w:val="single" w:color="000000" w:sz="4" w:space="0"/>
              <w:bottom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支持病例全景展示</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1）向传染病报告管理人员提供一个患者门诊情况、住院情况、报告传染病情况等信息。</w:t>
            </w:r>
          </w:p>
        </w:tc>
      </w:tr>
      <w:tr>
        <w:tblPrEx>
          <w:tblCellMar>
            <w:top w:w="0" w:type="dxa"/>
            <w:left w:w="108" w:type="dxa"/>
            <w:bottom w:w="0" w:type="dxa"/>
            <w:right w:w="108" w:type="dxa"/>
          </w:tblCellMar>
        </w:tblPrEx>
        <w:trPr>
          <w:trHeight w:val="751"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default"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bottom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2）向传染病报告管理人员提供一个患者的业务数据有：诊断信息、检验信息、影像信息、病程记录。</w:t>
            </w:r>
          </w:p>
        </w:tc>
      </w:tr>
      <w:tr>
        <w:tblPrEx>
          <w:tblCellMar>
            <w:top w:w="0" w:type="dxa"/>
            <w:left w:w="108" w:type="dxa"/>
            <w:bottom w:w="0" w:type="dxa"/>
            <w:right w:w="108" w:type="dxa"/>
          </w:tblCellMar>
        </w:tblPrEx>
        <w:trPr>
          <w:trHeight w:val="367" w:hRule="atLeast"/>
        </w:trPr>
        <w:tc>
          <w:tcPr>
            <w:tcW w:w="626" w:type="dxa"/>
            <w:vMerge w:val="restart"/>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top w:val="single" w:color="000000" w:sz="4" w:space="0"/>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10</w:t>
            </w:r>
          </w:p>
        </w:tc>
        <w:tc>
          <w:tcPr>
            <w:tcW w:w="737" w:type="dxa"/>
            <w:vMerge w:val="restart"/>
            <w:tcBorders>
              <w:top w:val="single" w:color="000000" w:sz="4" w:space="0"/>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公告栏</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1）向报告管理人员提供维护通知内容。</w:t>
            </w:r>
          </w:p>
        </w:tc>
      </w:tr>
      <w:tr>
        <w:trPr>
          <w:trHeight w:val="367"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2）向报告管理人员提供维护诊断标准相关材料学习功能。</w:t>
            </w:r>
          </w:p>
        </w:tc>
      </w:tr>
      <w:tr>
        <w:tblPrEx>
          <w:tblCellMar>
            <w:top w:w="0" w:type="dxa"/>
            <w:left w:w="108" w:type="dxa"/>
            <w:bottom w:w="0" w:type="dxa"/>
            <w:right w:w="108" w:type="dxa"/>
          </w:tblCellMar>
        </w:tblPrEx>
        <w:trPr>
          <w:trHeight w:val="367"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3）向报告管理人员提供维护报卡法律法规相关材料学习功能。</w:t>
            </w:r>
          </w:p>
        </w:tc>
      </w:tr>
      <w:tr>
        <w:tblPrEx>
          <w:tblCellMar>
            <w:top w:w="0" w:type="dxa"/>
            <w:left w:w="108" w:type="dxa"/>
            <w:bottom w:w="0" w:type="dxa"/>
            <w:right w:w="108" w:type="dxa"/>
          </w:tblCellMar>
        </w:tblPrEx>
        <w:trPr>
          <w:trHeight w:val="367" w:hRule="atLeast"/>
        </w:trPr>
        <w:tc>
          <w:tcPr>
            <w:tcW w:w="626"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4）向报告管理人员提供维护我院报卡上报要求学习功能。</w:t>
            </w:r>
          </w:p>
        </w:tc>
      </w:tr>
      <w:tr>
        <w:tblPrEx>
          <w:tblCellMar>
            <w:top w:w="0" w:type="dxa"/>
            <w:left w:w="108" w:type="dxa"/>
            <w:bottom w:w="0" w:type="dxa"/>
            <w:right w:w="108" w:type="dxa"/>
          </w:tblCellMar>
        </w:tblPrEx>
        <w:trPr>
          <w:trHeight w:val="333" w:hRule="atLeast"/>
        </w:trPr>
        <w:tc>
          <w:tcPr>
            <w:tcW w:w="626" w:type="dxa"/>
            <w:vMerge w:val="restart"/>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top w:val="single" w:color="000000" w:sz="4" w:space="0"/>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11</w:t>
            </w:r>
          </w:p>
        </w:tc>
        <w:tc>
          <w:tcPr>
            <w:tcW w:w="737" w:type="dxa"/>
            <w:vMerge w:val="restart"/>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center"/>
              <w:rPr>
                <w:rFonts w:hint="eastAsia" w:ascii="宋体" w:hAnsi="宋体" w:eastAsia="宋体" w:cs="宋体"/>
                <w:sz w:val="24"/>
                <w:szCs w:val="24"/>
                <w:lang w:val="en-US" w:eastAsia="zh-CN" w:bidi="lo-LA"/>
              </w:rPr>
            </w:pPr>
          </w:p>
          <w:p>
            <w:pPr>
              <w:numPr>
                <w:ilvl w:val="0"/>
                <w:numId w:val="0"/>
              </w:numPr>
              <w:spacing w:line="240" w:lineRule="auto"/>
              <w:ind w:left="0" w:right="0" w:firstLine="0"/>
              <w:jc w:val="center"/>
              <w:rPr>
                <w:rFonts w:hint="eastAsia" w:ascii="宋体" w:hAnsi="宋体" w:eastAsia="宋体" w:cs="宋体"/>
                <w:sz w:val="24"/>
                <w:szCs w:val="24"/>
                <w:lang w:val="en-US" w:eastAsia="zh-CN" w:bidi="lo-LA"/>
              </w:rPr>
            </w:pPr>
          </w:p>
          <w:p>
            <w:pPr>
              <w:numPr>
                <w:ilvl w:val="0"/>
                <w:numId w:val="0"/>
              </w:numPr>
              <w:spacing w:line="240" w:lineRule="auto"/>
              <w:ind w:left="0" w:right="0" w:firstLine="0"/>
              <w:jc w:val="center"/>
            </w:pPr>
            <w:r>
              <w:rPr>
                <w:rFonts w:hint="eastAsia" w:ascii="宋体" w:hAnsi="宋体" w:eastAsia="宋体" w:cs="宋体"/>
                <w:sz w:val="24"/>
                <w:szCs w:val="24"/>
                <w:lang w:val="en-US" w:eastAsia="zh-CN" w:bidi="lo-LA"/>
              </w:rPr>
              <w:t>干预功能</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1）支持具备传染病监测人员和临床医生对诊断传染病病例进行沟通的功能。</w:t>
            </w:r>
          </w:p>
        </w:tc>
      </w:tr>
      <w:tr>
        <w:tblPrEx>
          <w:tblCellMar>
            <w:top w:w="0" w:type="dxa"/>
            <w:left w:w="108" w:type="dxa"/>
            <w:bottom w:w="0" w:type="dxa"/>
            <w:right w:w="108" w:type="dxa"/>
          </w:tblCellMar>
        </w:tblPrEx>
        <w:trPr>
          <w:trHeight w:val="333"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2）支持展示传染病监测人员与临床医生基于患者的交流功能。</w:t>
            </w:r>
          </w:p>
        </w:tc>
      </w:tr>
      <w:tr>
        <w:tblPrEx>
          <w:tblCellMar>
            <w:top w:w="0" w:type="dxa"/>
            <w:left w:w="108" w:type="dxa"/>
            <w:bottom w:w="0" w:type="dxa"/>
            <w:right w:w="108" w:type="dxa"/>
          </w:tblCellMar>
        </w:tblPrEx>
        <w:trPr>
          <w:trHeight w:val="333"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3）支持传染病监测人员可以主动发送消息给临床医生。</w:t>
            </w:r>
          </w:p>
        </w:tc>
      </w:tr>
      <w:tr>
        <w:tblPrEx>
          <w:tblCellMar>
            <w:top w:w="0" w:type="dxa"/>
            <w:left w:w="108" w:type="dxa"/>
            <w:bottom w:w="0" w:type="dxa"/>
            <w:right w:w="108" w:type="dxa"/>
          </w:tblCellMar>
        </w:tblPrEx>
        <w:trPr>
          <w:trHeight w:val="333"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4）支持发送消息选择模板。</w:t>
            </w:r>
          </w:p>
        </w:tc>
      </w:tr>
      <w:tr>
        <w:tblPrEx>
          <w:tblCellMar>
            <w:top w:w="0" w:type="dxa"/>
            <w:left w:w="108" w:type="dxa"/>
            <w:bottom w:w="0" w:type="dxa"/>
            <w:right w:w="108" w:type="dxa"/>
          </w:tblCellMar>
        </w:tblPrEx>
        <w:trPr>
          <w:trHeight w:val="333"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5）支持以患者为单位显示所有交流信息。</w:t>
            </w:r>
          </w:p>
        </w:tc>
      </w:tr>
      <w:tr>
        <w:tblPrEx>
          <w:tblCellMar>
            <w:top w:w="0" w:type="dxa"/>
            <w:left w:w="108" w:type="dxa"/>
            <w:bottom w:w="0" w:type="dxa"/>
            <w:right w:w="108" w:type="dxa"/>
          </w:tblCellMar>
        </w:tblPrEx>
        <w:trPr>
          <w:trHeight w:val="333"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6）支持交流信息查询参数包括发送时间、病例ID、患者病区、发送人账号。</w:t>
            </w:r>
          </w:p>
        </w:tc>
      </w:tr>
      <w:tr>
        <w:trPr>
          <w:trHeight w:val="333" w:hRule="atLeast"/>
        </w:trPr>
        <w:tc>
          <w:tcPr>
            <w:tcW w:w="626"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top w:val="single" w:color="000000" w:sz="4" w:space="0"/>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7）支持提供消息内容模糊查询功能。</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12</w:t>
            </w:r>
          </w:p>
        </w:tc>
        <w:tc>
          <w:tcPr>
            <w:tcW w:w="737" w:type="dxa"/>
            <w:vMerge w:val="restart"/>
            <w:tcBorders>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用户管理功能</w:t>
            </w:r>
          </w:p>
          <w:p>
            <w:pPr>
              <w:numPr>
                <w:ilvl w:val="0"/>
                <w:numId w:val="0"/>
              </w:numPr>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1）向管理人员提供添加用户组的功能。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向管理人员提供修改用户组的功能。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向管理人员提供删除用户组的功能。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 向管理人员提供维护用户组权限的功能。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 向管理人员提供添加用户的功能。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6） 向管理人员提供修改用户的功能。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7） 向管理人员提供删除用户的功能。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8） 向管理人员提供维护用户归属用户组的功能。</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13</w:t>
            </w:r>
          </w:p>
        </w:tc>
        <w:tc>
          <w:tcPr>
            <w:tcW w:w="737" w:type="dxa"/>
            <w:vMerge w:val="restart"/>
            <w:tcBorders>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支持报卡追踪</w:t>
            </w:r>
          </w:p>
          <w:p>
            <w:pPr>
              <w:numPr>
                <w:ilvl w:val="0"/>
                <w:numId w:val="0"/>
              </w:numPr>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spacing w:line="240" w:lineRule="auto"/>
              <w:jc w:val="left"/>
            </w:pPr>
            <w:r>
              <w:rPr>
                <w:rFonts w:hint="eastAsia" w:ascii="宋体" w:hAnsi="宋体" w:eastAsia="宋体" w:cs="宋体"/>
                <w:sz w:val="24"/>
                <w:szCs w:val="24"/>
                <w:lang w:val="en-US" w:eastAsia="zh-CN" w:bidi="lo-LA"/>
              </w:rPr>
              <w:t>向传染病报告管理人员提供临床医师诊断传染性疾病况。</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向传染病报告管理人员提供临床医师上报传染病报卡情况。</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向传染病报告管理人员提供临床医师迟报情况。</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 向传染病报告管理人员提供临床医师漏报情况。</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 病例多个时间戳追踪：临床医师诊断时间、临床医师上报时间、防保科收卡时间、防保科审核时间、提醒临床医师迟报时间、提醒临床医师漏报时间、干预临床医师漏诊时间。</w:t>
            </w:r>
          </w:p>
        </w:tc>
      </w:tr>
      <w:tr>
        <w:tblPrEx>
          <w:tblCellMar>
            <w:top w:w="0" w:type="dxa"/>
            <w:left w:w="108" w:type="dxa"/>
            <w:bottom w:w="0" w:type="dxa"/>
            <w:right w:w="108" w:type="dxa"/>
          </w:tblCellMar>
        </w:tblPrEx>
        <w:trPr>
          <w:trHeight w:val="333" w:hRule="atLeast"/>
        </w:trPr>
        <w:tc>
          <w:tcPr>
            <w:tcW w:w="626" w:type="dxa"/>
            <w:tcBorders>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tcBorders>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14</w:t>
            </w:r>
          </w:p>
        </w:tc>
        <w:tc>
          <w:tcPr>
            <w:tcW w:w="737" w:type="dxa"/>
            <w:tcBorders>
              <w:left w:val="single" w:color="000000" w:sz="4" w:space="0"/>
              <w:bottom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聚集事件管理</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向传染病报告管理人员提供按照现住地址统计的同一种传染病短期增多的情况。</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15</w:t>
            </w:r>
          </w:p>
        </w:tc>
        <w:tc>
          <w:tcPr>
            <w:tcW w:w="737" w:type="dxa"/>
            <w:vMerge w:val="restart"/>
            <w:tcBorders>
              <w:left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工作报告</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向传染病报告管理人员提供传染病病例报告卡迟报记录。</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向传染病报告管理人员提供传染病病例报告卡漏报记录。</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向传染病报告管理人员提供传染病病例报告卡提醒次数查询。</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 向传染病报告管理人员提供传染病病例报告卡整改通知函下发次数查询。</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 向传染病报告管理人员提供传染病病例报告卡接收、审核、退卡、导出情况统计。</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16</w:t>
            </w:r>
          </w:p>
        </w:tc>
        <w:tc>
          <w:tcPr>
            <w:tcW w:w="737" w:type="dxa"/>
            <w:vMerge w:val="restart"/>
            <w:tcBorders>
              <w:left w:val="single" w:color="000000" w:sz="4" w:space="0"/>
            </w:tcBorders>
            <w:noWrap w:val="0"/>
            <w:vAlign w:val="center"/>
          </w:tcPr>
          <w:p>
            <w:pPr>
              <w:snapToGrid w:val="0"/>
              <w:spacing w:line="240" w:lineRule="auto"/>
              <w:jc w:val="left"/>
              <w:rPr>
                <w:rFonts w:hint="eastAsia" w:ascii="宋体" w:hAnsi="宋体" w:eastAsia="宋体" w:cs="宋体"/>
                <w:sz w:val="24"/>
                <w:szCs w:val="24"/>
                <w:lang w:val="en-US" w:eastAsia="zh-CN" w:bidi="lo-LA"/>
              </w:rPr>
            </w:pPr>
          </w:p>
          <w:p>
            <w:pPr>
              <w:spacing w:line="240" w:lineRule="auto"/>
              <w:jc w:val="left"/>
            </w:pPr>
            <w:r>
              <w:rPr>
                <w:rFonts w:hint="eastAsia" w:ascii="宋体" w:hAnsi="宋体" w:eastAsia="宋体" w:cs="宋体"/>
                <w:sz w:val="24"/>
                <w:szCs w:val="24"/>
                <w:lang w:val="en-US" w:eastAsia="zh-CN" w:bidi="lo-LA"/>
              </w:rPr>
              <w:t>工作概况</w:t>
            </w:r>
          </w:p>
          <w:p>
            <w:pPr>
              <w:numPr>
                <w:ilvl w:val="0"/>
                <w:numId w:val="0"/>
              </w:numPr>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向传染病报告管理人员提供全院概况检测功能，包括监测患者数、应报传染病例次、提醒总数、漏报例次。提供转取患者明细功能。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向传染病报告管理人员提供待办事宜提醒功能：包括待接收卡片数、待审核卡片数、待追踪卡片数、待上报CDC卡片数。提供转取患者明细功能。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向传染病报告管理人员提供已上报甲、乙、丙传染病卡片三类占比分析图。</w:t>
            </w:r>
          </w:p>
          <w:p>
            <w:pPr>
              <w:spacing w:line="240" w:lineRule="auto"/>
              <w:jc w:val="left"/>
            </w:pPr>
            <w:r>
              <w:rPr>
                <w:rFonts w:hint="eastAsia" w:ascii="宋体" w:hAnsi="宋体" w:eastAsia="宋体" w:cs="宋体"/>
                <w:sz w:val="24"/>
                <w:szCs w:val="24"/>
                <w:lang w:val="en-US" w:eastAsia="zh-CN" w:bidi="lo-LA"/>
              </w:rPr>
              <w:t>4） 向传染病报告管理人员提供全院漏报卡数变化情况分析图。</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 向传染病报告管理人员提供全院上报卡片总耗时变化分析图。</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17</w:t>
            </w:r>
          </w:p>
        </w:tc>
        <w:tc>
          <w:tcPr>
            <w:tcW w:w="737" w:type="dxa"/>
            <w:vMerge w:val="restart"/>
            <w:tcBorders>
              <w:left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传染病报卡</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向传染病报告管理人员提供传染病报告卡接收情况分析。</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向传染病报告管理人员提供传染病报告卡审核情况分析。</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向传染病报告管理人员提供传染病报告卡导出情况分析。</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 向传染病报告管理人员提供传染病报告卡修改、退卡功能。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 向传染病报告管理人员提供不同状态传染病报告卡查询功能。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6） 向传染病报告管理人员提供传染病报告卡打印功能。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7） 向传染病报告管理人员提供传染病报告卡导出PDF功能。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8） 向传染病报告管理人员提供重点科室传染病检测情况，区分门诊科室与住院科室。</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9） 向传染病报告管理人员提供出现在非疾病治疗科室的传染病患者情况，如：乙肝患者出现在其他非消化科的病例。</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10） 向传染病报告管理人员提供携带传染病患者的入院/转科/出院跟踪统计。</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18</w:t>
            </w:r>
          </w:p>
        </w:tc>
        <w:tc>
          <w:tcPr>
            <w:tcW w:w="737" w:type="dxa"/>
            <w:vMerge w:val="restart"/>
            <w:tcBorders>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死亡报卡</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向死亡管理人员提供死亡病例报告卡的审核功能,能够及时的查询到医生未上报死亡报卡的情况。</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向死亡报告管理人员提供死亡病例报告卡的查询功能。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向死亡报告管理人员提供死亡病例报告卡的统计功能。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 向死亡报告管理人员提供死亡报告卡审核、修改、退卡、删卡功能。</w:t>
            </w:r>
          </w:p>
        </w:tc>
      </w:tr>
      <w:tr>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 向死亡报告管理人员提供死亡报告卡批量审核功能。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6） 向死亡报告管理人员提供不同状态死亡报告卡查询功能。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7） 向死亡报告管理人员提供死亡报告卡打印功能。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8） 向死亡报告管理人员提供死亡报告卡导出PDF功能。</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19</w:t>
            </w:r>
          </w:p>
        </w:tc>
        <w:tc>
          <w:tcPr>
            <w:tcW w:w="737" w:type="dxa"/>
            <w:vMerge w:val="restart"/>
            <w:tcBorders>
              <w:left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慢性病相关监测</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向传染病报告管理人员提供高血压病例、糖尿病、冠心病病例报告卡的审核功能。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向传染病报告管理人员提供脑卒中病例、恶性肿瘤病例管理卡的审核功能。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spacing w:line="240" w:lineRule="auto"/>
              <w:jc w:val="left"/>
            </w:pPr>
            <w:r>
              <w:rPr>
                <w:rFonts w:hint="eastAsia" w:ascii="宋体" w:hAnsi="宋体" w:eastAsia="宋体" w:cs="宋体"/>
                <w:sz w:val="24"/>
                <w:szCs w:val="24"/>
                <w:lang w:val="en-US" w:eastAsia="zh-CN" w:bidi="lo-LA"/>
              </w:rPr>
              <w:t xml:space="preserve"> 向传染病报告管理人员提供高血压、糖尿病、冠心病病例报告卡的查询功能；提供脑卒中、恶性肿瘤病例管理卡的查询功能。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 向传染病报告管理人员提供高血压、糖尿病、冠心病病例报告卡的统计功能；提供脑卒中、恶性肿瘤病例管理卡的统计功能。</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20</w:t>
            </w:r>
          </w:p>
        </w:tc>
        <w:tc>
          <w:tcPr>
            <w:tcW w:w="737" w:type="dxa"/>
            <w:vMerge w:val="restart"/>
            <w:tcBorders>
              <w:lef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职业病监测</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向传染病报告管理人员提供职业病病例报告卡的审核功能。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向传染病报告管理人员提供职业病病例报告卡的查询功能。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向传染病报告管理人员提供职业病病例报告卡的统计功能。</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21</w:t>
            </w:r>
          </w:p>
        </w:tc>
        <w:tc>
          <w:tcPr>
            <w:tcW w:w="737" w:type="dxa"/>
            <w:vMerge w:val="restart"/>
            <w:tcBorders>
              <w:left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妇幼相关监测</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向传染病报告管理人员提供5岁以下儿童死亡病例报告卡的审核功能。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向传染病报告管理人员提供5岁以下儿童死亡病例报告卡的查询功能。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向传染病报告管理人员提供5岁以下儿童死亡病例报告卡的统计功能。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4） 向传染病报告管理人员提供孕产妇死亡病例报告卡的审核功能。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5） 向传染病报告管理人员提供孕产妇病例报告卡的查询功能。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6） 向传染病报告管理人员提供孕产妇病例报告卡的统计功能。</w:t>
            </w:r>
          </w:p>
        </w:tc>
      </w:tr>
      <w:tr>
        <w:tblPrEx>
          <w:tblCellMar>
            <w:top w:w="0" w:type="dxa"/>
            <w:left w:w="108" w:type="dxa"/>
            <w:bottom w:w="0" w:type="dxa"/>
            <w:right w:w="108" w:type="dxa"/>
          </w:tblCellMar>
        </w:tblPrEx>
        <w:trPr>
          <w:trHeight w:val="333" w:hRule="atLeast"/>
        </w:trPr>
        <w:tc>
          <w:tcPr>
            <w:tcW w:w="626" w:type="dxa"/>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restart"/>
            <w:tcBorders>
              <w:left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22</w:t>
            </w:r>
          </w:p>
        </w:tc>
        <w:tc>
          <w:tcPr>
            <w:tcW w:w="737" w:type="dxa"/>
            <w:vMerge w:val="restart"/>
            <w:tcBorders>
              <w:left w:val="single" w:color="000000" w:sz="4" w:space="0"/>
            </w:tcBorders>
            <w:noWrap w:val="0"/>
            <w:vAlign w:val="center"/>
          </w:tcPr>
          <w:p>
            <w:pPr>
              <w:numPr>
                <w:ilvl w:val="0"/>
                <w:numId w:val="0"/>
              </w:numPr>
              <w:spacing w:line="240" w:lineRule="auto"/>
              <w:ind w:left="0" w:right="0" w:firstLine="0"/>
              <w:jc w:val="left"/>
            </w:pPr>
            <w:r>
              <w:rPr>
                <w:rFonts w:hint="eastAsia" w:ascii="宋体" w:hAnsi="宋体" w:eastAsia="宋体" w:cs="宋体"/>
                <w:sz w:val="24"/>
                <w:szCs w:val="24"/>
                <w:lang w:val="en-US" w:eastAsia="zh-CN" w:bidi="lo-LA"/>
              </w:rPr>
              <w:t>食源性疾病监测</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1） 向传染病报告管理人员提供食源性疾病报告卡的审核功能。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2） 向传染病报告管理人员提供食源性疾病报告卡的查询功能。</w:t>
            </w:r>
          </w:p>
        </w:tc>
      </w:tr>
      <w:tr>
        <w:tblPrEx>
          <w:tblCellMar>
            <w:top w:w="0" w:type="dxa"/>
            <w:left w:w="108" w:type="dxa"/>
            <w:bottom w:w="0" w:type="dxa"/>
            <w:right w:w="108" w:type="dxa"/>
          </w:tblCellMar>
        </w:tblPrEx>
        <w:trPr>
          <w:trHeight w:val="333" w:hRule="atLeast"/>
        </w:trPr>
        <w:tc>
          <w:tcPr>
            <w:tcW w:w="626"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535" w:type="dxa"/>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4"/>
                <w:szCs w:val="24"/>
                <w:lang w:val="en-US" w:eastAsia="zh-CN" w:bidi="lo-LA"/>
              </w:rPr>
            </w:pPr>
          </w:p>
        </w:tc>
        <w:tc>
          <w:tcPr>
            <w:tcW w:w="737" w:type="dxa"/>
            <w:vMerge w:val="continue"/>
            <w:tcBorders>
              <w:left w:val="single" w:color="000000" w:sz="4" w:space="0"/>
            </w:tcBorders>
            <w:noWrap w:val="0"/>
            <w:vAlign w:val="center"/>
          </w:tcPr>
          <w:p>
            <w:pPr>
              <w:numPr>
                <w:ilvl w:val="0"/>
                <w:numId w:val="0"/>
              </w:numPr>
              <w:snapToGrid w:val="0"/>
              <w:spacing w:line="240" w:lineRule="auto"/>
              <w:ind w:left="0" w:right="0" w:firstLine="0"/>
              <w:jc w:val="left"/>
              <w:rPr>
                <w:rFonts w:hint="default" w:ascii="宋体" w:hAnsi="宋体" w:eastAsia="宋体" w:cs="宋体"/>
                <w:sz w:val="24"/>
                <w:szCs w:val="24"/>
                <w:lang w:val="en-US" w:eastAsia="zh-CN" w:bidi="lo-LA"/>
              </w:rPr>
            </w:pP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3） 向传染病报告管理人员提供食源性疾病报告卡的统计功能。</w:t>
            </w:r>
          </w:p>
        </w:tc>
      </w:tr>
      <w:tr>
        <w:tblPrEx>
          <w:tblCellMar>
            <w:top w:w="0" w:type="dxa"/>
            <w:left w:w="108" w:type="dxa"/>
            <w:bottom w:w="0" w:type="dxa"/>
            <w:right w:w="108" w:type="dxa"/>
          </w:tblCellMar>
        </w:tblPrEx>
        <w:trPr>
          <w:trHeight w:val="333" w:hRule="atLeast"/>
        </w:trPr>
        <w:tc>
          <w:tcPr>
            <w:tcW w:w="626" w:type="dxa"/>
            <w:tcBorders>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rPr>
              <w:t>*</w:t>
            </w:r>
          </w:p>
        </w:tc>
        <w:tc>
          <w:tcPr>
            <w:tcW w:w="535" w:type="dxa"/>
            <w:tcBorders>
              <w:left w:val="single" w:color="000000" w:sz="4" w:space="0"/>
              <w:bottom w:val="single" w:color="000000" w:sz="4" w:space="0"/>
            </w:tcBorders>
            <w:noWrap w:val="0"/>
            <w:vAlign w:val="center"/>
          </w:tcPr>
          <w:p>
            <w:pPr>
              <w:spacing w:line="240" w:lineRule="auto"/>
              <w:jc w:val="center"/>
            </w:pPr>
            <w:r>
              <w:rPr>
                <w:rFonts w:hint="eastAsia" w:ascii="宋体" w:hAnsi="宋体" w:eastAsia="宋体" w:cs="宋体"/>
                <w:sz w:val="24"/>
                <w:szCs w:val="24"/>
                <w:lang w:val="en-US" w:eastAsia="zh-CN" w:bidi="lo-LA"/>
              </w:rPr>
              <w:t>23</w:t>
            </w:r>
          </w:p>
        </w:tc>
        <w:tc>
          <w:tcPr>
            <w:tcW w:w="737" w:type="dxa"/>
            <w:tcBorders>
              <w:left w:val="single" w:color="000000" w:sz="4" w:space="0"/>
              <w:bottom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接口需求</w:t>
            </w:r>
          </w:p>
        </w:tc>
        <w:tc>
          <w:tcPr>
            <w:tcW w:w="6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为第三方系统（HIS/EMR/LIS等）提供传染病/死因/食源性疾病等上报接口、提供传染病强制报卡接口、提供消息调用接口、提供患者信息接口。</w:t>
            </w:r>
          </w:p>
        </w:tc>
      </w:tr>
      <w:tr>
        <w:tblPrEx>
          <w:tblCellMar>
            <w:top w:w="0" w:type="dxa"/>
            <w:left w:w="108" w:type="dxa"/>
            <w:bottom w:w="0" w:type="dxa"/>
            <w:right w:w="108" w:type="dxa"/>
          </w:tblCellMar>
        </w:tblPrEx>
        <w:trPr>
          <w:trHeight w:val="333" w:hRule="atLeast"/>
        </w:trPr>
        <w:tc>
          <w:tcPr>
            <w:tcW w:w="8698" w:type="dxa"/>
            <w:gridSpan w:val="4"/>
            <w:tcBorders>
              <w:left w:val="single" w:color="000000" w:sz="4" w:space="0"/>
              <w:bottom w:val="single" w:color="000000" w:sz="4" w:space="0"/>
              <w:right w:val="single" w:color="000000" w:sz="4" w:space="0"/>
            </w:tcBorders>
            <w:noWrap w:val="0"/>
            <w:vAlign w:val="center"/>
          </w:tcPr>
          <w:p>
            <w:pPr>
              <w:spacing w:line="240" w:lineRule="auto"/>
              <w:jc w:val="left"/>
            </w:pPr>
            <w:r>
              <w:rPr>
                <w:rFonts w:hint="eastAsia" w:ascii="宋体" w:hAnsi="宋体" w:eastAsia="宋体" w:cs="宋体"/>
                <w:sz w:val="24"/>
                <w:szCs w:val="24"/>
                <w:lang w:val="en-US" w:eastAsia="zh-CN" w:bidi="lo-LA"/>
              </w:rPr>
              <w:t>注：“参数性质”标“*”表示此参数为主要技术参数。</w:t>
            </w:r>
          </w:p>
        </w:tc>
      </w:tr>
    </w:tbl>
    <w:p>
      <w:pPr>
        <w:numPr>
          <w:ilvl w:val="0"/>
          <w:numId w:val="0"/>
        </w:numPr>
        <w:spacing w:line="360" w:lineRule="auto"/>
        <w:jc w:val="left"/>
        <w:rPr>
          <w:rFonts w:hint="eastAsia" w:hAnsi="宋体"/>
          <w:sz w:val="24"/>
          <w:szCs w:val="24"/>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最低低价法</w:t>
      </w:r>
    </w:p>
    <w:tbl>
      <w:tblPr>
        <w:tblStyle w:val="8"/>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履约保证金待产品验收合格后退还。履约金的退还需先经信息科负责人审核签字，然后持产品验收单及保证金收据到招标办签字或盖章，最后经财务科负责人签字后办理退还。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4"/>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4"/>
        <w:rPr>
          <w:rFonts w:hint="eastAsia"/>
          <w:color w:val="000000"/>
        </w:rPr>
      </w:pPr>
    </w:p>
    <w:p/>
    <w:p/>
    <w:p/>
    <w:p/>
    <w:p>
      <w:pPr>
        <w:pStyle w:val="4"/>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6"/>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lang w:eastAsia="zh-CN"/>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r>
        <w:rPr>
          <w:rFonts w:hint="eastAsia" w:ascii="宋体" w:hAnsi="宋体" w:eastAsia="宋体"/>
          <w:b/>
          <w:color w:val="000000"/>
          <w:sz w:val="24"/>
          <w:szCs w:val="24"/>
          <w:lang w:eastAsia="zh-CN"/>
        </w:rPr>
        <w:t>（</w:t>
      </w:r>
      <w:r>
        <w:rPr>
          <w:rFonts w:hint="eastAsia" w:ascii="宋体" w:hAnsi="宋体" w:eastAsia="宋体"/>
          <w:b/>
          <w:color w:val="000000"/>
          <w:sz w:val="24"/>
          <w:szCs w:val="24"/>
          <w:lang w:val="en-US" w:eastAsia="zh-CN"/>
        </w:rPr>
        <w:t>如有</w:t>
      </w:r>
      <w:bookmarkStart w:id="1" w:name="_GoBack"/>
      <w:bookmarkEnd w:id="1"/>
      <w:r>
        <w:rPr>
          <w:rFonts w:hint="eastAsia" w:ascii="宋体" w:hAnsi="宋体" w:eastAsia="宋体"/>
          <w:b/>
          <w:color w:val="000000"/>
          <w:sz w:val="24"/>
          <w:szCs w:val="24"/>
          <w:lang w:eastAsia="zh-CN"/>
        </w:rPr>
        <w:t>）</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8"/>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decimal"/>
      <w:suff w:val="space"/>
      <w:lvlText w:val="%1)"/>
      <w:lvlJc w:val="left"/>
      <w:pPr>
        <w:tabs>
          <w:tab w:val="left" w:pos="0"/>
        </w:tabs>
        <w:ind w:left="0" w:firstLine="0"/>
      </w:pPr>
    </w:lvl>
  </w:abstractNum>
  <w:abstractNum w:abstractNumId="1">
    <w:nsid w:val="00000003"/>
    <w:multiLevelType w:val="singleLevel"/>
    <w:tmpl w:val="00000003"/>
    <w:lvl w:ilvl="0" w:tentative="0">
      <w:start w:val="1"/>
      <w:numFmt w:val="decimal"/>
      <w:suff w:val="space"/>
      <w:lvlText w:val="%1）"/>
      <w:lvlJc w:val="left"/>
      <w:pPr>
        <w:tabs>
          <w:tab w:val="left" w:pos="0"/>
        </w:tabs>
        <w:ind w:left="0" w:firstLine="0"/>
      </w:p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4">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5">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05076A5B"/>
    <w:rsid w:val="06B07F83"/>
    <w:rsid w:val="083C3418"/>
    <w:rsid w:val="11AB1717"/>
    <w:rsid w:val="11EF4694"/>
    <w:rsid w:val="19BD2CB7"/>
    <w:rsid w:val="1FE960F9"/>
    <w:rsid w:val="23507ADC"/>
    <w:rsid w:val="25757733"/>
    <w:rsid w:val="267A5F90"/>
    <w:rsid w:val="2B8A6B32"/>
    <w:rsid w:val="2D1D3BDB"/>
    <w:rsid w:val="2DFB03C5"/>
    <w:rsid w:val="2FC378C6"/>
    <w:rsid w:val="32944704"/>
    <w:rsid w:val="37FC75FC"/>
    <w:rsid w:val="393C0F46"/>
    <w:rsid w:val="489F057B"/>
    <w:rsid w:val="4AED3729"/>
    <w:rsid w:val="557D67C8"/>
    <w:rsid w:val="5DFF20EB"/>
    <w:rsid w:val="661108EC"/>
    <w:rsid w:val="669049D8"/>
    <w:rsid w:val="67D14995"/>
    <w:rsid w:val="6D4F63E7"/>
    <w:rsid w:val="6F5104C0"/>
    <w:rsid w:val="719B7B32"/>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1"/>
    <w:pPr>
      <w:jc w:val="both"/>
    </w:pPr>
    <w:rPr>
      <w:rFonts w:asciiTheme="minorHAnsi" w:hAnsiTheme="minorHAnsi" w:eastAsiaTheme="minorEastAsia" w:cstheme="minorBidi"/>
      <w:sz w:val="21"/>
      <w:szCs w:val="21"/>
      <w:lang w:val="en-US" w:eastAsia="zh-CN" w:bidi="ar-SA"/>
    </w:rPr>
  </w:style>
  <w:style w:type="paragraph" w:styleId="3">
    <w:name w:val="heading 1"/>
    <w:basedOn w:val="1"/>
    <w:next w:val="1"/>
    <w:qFormat/>
    <w:uiPriority w:val="7"/>
    <w:pPr>
      <w:spacing w:before="340" w:after="330" w:line="578" w:lineRule="auto"/>
      <w:outlineLvl w:val="0"/>
    </w:pPr>
    <w:rPr>
      <w:b/>
      <w:sz w:val="44"/>
      <w:szCs w:val="44"/>
    </w:rPr>
  </w:style>
  <w:style w:type="paragraph" w:styleId="4">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0">
    <w:name w:val="Default Paragraph Font"/>
    <w:semiHidden/>
    <w:qFormat/>
    <w:uiPriority w:val="2"/>
  </w:style>
  <w:style w:type="table" w:default="1" w:styleId="8">
    <w:name w:val="Normal Table"/>
    <w:semiHidden/>
    <w:qFormat/>
    <w:uiPriority w:val="3"/>
    <w:tblPr>
      <w:tblCellMar>
        <w:top w:w="0" w:type="dxa"/>
        <w:left w:w="108" w:type="dxa"/>
        <w:bottom w:w="0" w:type="dxa"/>
        <w:right w:w="108" w:type="dxa"/>
      </w:tblCellMar>
    </w:tblPr>
  </w:style>
  <w:style w:type="paragraph" w:customStyle="1" w:styleId="2">
    <w:name w:val="正文首行缩进1"/>
    <w:qFormat/>
    <w:uiPriority w:val="2457"/>
    <w:pPr>
      <w:ind w:left="0" w:right="0" w:firstLine="420"/>
    </w:pPr>
    <w:rPr>
      <w:rFonts w:ascii="Times New Roman" w:hAnsi="Times New Roman" w:eastAsia="Times New Roman" w:cs="Times New Roman"/>
      <w:szCs w:val="20"/>
    </w:rPr>
  </w:style>
  <w:style w:type="paragraph" w:styleId="5">
    <w:name w:val="footer"/>
    <w:basedOn w:val="1"/>
    <w:qFormat/>
    <w:uiPriority w:val="151"/>
    <w:pPr>
      <w:tabs>
        <w:tab w:val="center" w:pos="4153"/>
        <w:tab w:val="right" w:pos="8306"/>
      </w:tabs>
      <w:snapToGrid w:val="0"/>
      <w:jc w:val="left"/>
    </w:pPr>
    <w:rPr>
      <w:sz w:val="18"/>
      <w:szCs w:val="18"/>
    </w:rPr>
  </w:style>
  <w:style w:type="paragraph" w:styleId="6">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7">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9">
    <w:name w:val="Table Grid"/>
    <w:basedOn w:val="8"/>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26"/>
    <w:pPr>
      <w:ind w:firstLine="200"/>
    </w:pPr>
    <w:rPr>
      <w:rFonts w:ascii="Times New Roman" w:hAnsi="Times New Roman" w:eastAsia="宋体" w:cs="Times New Roman"/>
      <w:sz w:val="28"/>
      <w:szCs w:val="28"/>
    </w:rPr>
  </w:style>
  <w:style w:type="character" w:customStyle="1" w:styleId="12">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2021-11-23T08:41:42Z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3A749697D29543248E1D3447C47B4C61</vt:lpwstr>
  </property>
</Properties>
</file>