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射线装置年度质量检测和工作场所防护监测服务项目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2021年11月26日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eastAsia" w:ascii="宋体" w:hAnsi="宋体" w:eastAsia="宋体" w:cs="宋体"/>
                <w:lang w:eastAsia="zh-CN"/>
              </w:rPr>
            </w:pPr>
            <w:r>
              <w:rPr>
                <w:rFonts w:hint="eastAsia" w:ascii="宋体" w:hAnsi="宋体" w:eastAsia="宋体" w:cs="宋体"/>
                <w:lang w:eastAsia="zh-CN"/>
              </w:rPr>
              <w:t>射线装置年度质量检测和工作场所防护监测服务项目（</w:t>
            </w:r>
            <w:r>
              <w:rPr>
                <w:rFonts w:hint="eastAsia" w:ascii="宋体" w:hAnsi="宋体" w:eastAsia="宋体" w:cs="宋体"/>
                <w:lang w:val="en-US" w:eastAsia="zh-CN"/>
              </w:rPr>
              <w:t>东胜部</w:t>
            </w:r>
            <w:r>
              <w:rPr>
                <w:rFonts w:hint="eastAsia" w:ascii="宋体" w:hAnsi="宋体" w:eastAsia="宋体" w:cs="宋体"/>
                <w:lang w:eastAsia="zh-CN"/>
              </w:rPr>
              <w:t>）</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项</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120000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120000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2865" w:type="dxa"/>
            <w:vAlign w:val="center"/>
          </w:tcPr>
          <w:p>
            <w:pPr>
              <w:rPr>
                <w:rFonts w:hint="eastAsia" w:ascii="宋体" w:hAnsi="宋体" w:eastAsia="宋体" w:cs="宋体"/>
                <w:lang w:eastAsia="zh-CN"/>
              </w:rPr>
            </w:pPr>
            <w:r>
              <w:rPr>
                <w:rFonts w:hint="eastAsia" w:ascii="宋体" w:hAnsi="宋体" w:eastAsia="宋体" w:cs="宋体"/>
                <w:lang w:eastAsia="zh-CN"/>
              </w:rPr>
              <w:t>射线装置年度质量检测和工作场所防护监测服务项目（</w:t>
            </w:r>
            <w:r>
              <w:rPr>
                <w:rFonts w:hint="eastAsia" w:ascii="宋体" w:hAnsi="宋体" w:eastAsia="宋体" w:cs="宋体"/>
                <w:lang w:val="en-US" w:eastAsia="zh-CN"/>
              </w:rPr>
              <w:t>康巴什部</w:t>
            </w:r>
            <w:r>
              <w:rPr>
                <w:rFonts w:hint="eastAsia" w:ascii="宋体" w:hAnsi="宋体" w:eastAsia="宋体" w:cs="宋体"/>
                <w:lang w:eastAsia="zh-CN"/>
              </w:rPr>
              <w:t>）</w:t>
            </w:r>
          </w:p>
        </w:tc>
        <w:tc>
          <w:tcPr>
            <w:tcW w:w="903"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w:t>
            </w:r>
          </w:p>
        </w:tc>
        <w:tc>
          <w:tcPr>
            <w:tcW w:w="826"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60000</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p>
        </w:tc>
        <w:tc>
          <w:tcPr>
            <w:tcW w:w="5932" w:type="dxa"/>
            <w:gridSpan w:val="4"/>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7</w:t>
            </w:r>
            <w:r>
              <w:rPr>
                <w:rFonts w:hint="eastAsia" w:ascii="宋体" w:hAnsi="宋体" w:eastAsia="宋体" w:cs="宋体"/>
                <w:sz w:val="24"/>
                <w:szCs w:val="24"/>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tc>
        <w:tc>
          <w:tcPr>
            <w:tcW w:w="4663"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投标人具有放射卫生技术服务机构资质证书，且在有效期内；投标人具有检验检测机构资质认定证书，且在有效期内。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服务完成后，监测报告交付医院后，一次性付清。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eastAsia="zh-CN"/>
        </w:rPr>
        <w:t>包含我院东康两部射线装置年度质量检测和工作场所防护监测服务</w:t>
      </w:r>
      <w:r>
        <w:rPr>
          <w:rFonts w:hint="eastAsia" w:ascii="宋体" w:hAnsi="宋体"/>
          <w:sz w:val="24"/>
          <w:szCs w:val="24"/>
          <w:u w:val="single"/>
        </w:rPr>
        <w:t>。</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eastAsiaTheme="minorEastAsia"/>
                <w:kern w:val="0"/>
                <w:sz w:val="24"/>
                <w:szCs w:val="24"/>
                <w:lang w:eastAsia="zh-CN"/>
              </w:rPr>
              <w:t>射线装置年度质量检测和工作场所防护监测</w:t>
            </w:r>
            <w:r>
              <w:rPr>
                <w:rFonts w:hint="eastAsia" w:ascii="宋体" w:hAnsi="宋体" w:cs="宋体"/>
                <w:kern w:val="0"/>
                <w:sz w:val="24"/>
                <w:szCs w:val="24"/>
                <w:lang w:eastAsia="zh-CN"/>
              </w:rPr>
              <w:t>服务项目</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kern w:val="0"/>
                <w:sz w:val="24"/>
                <w:szCs w:val="24"/>
                <w:lang w:val="en-US" w:eastAsia="zh-CN"/>
              </w:rPr>
              <w:t>项</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hint="eastAsia"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射线装置年度质量检测和工作场所防护监测服务项目</w:t>
      </w:r>
      <w:r>
        <w:rPr>
          <w:rFonts w:hint="eastAsia" w:ascii="宋体" w:hAnsi="宋体" w:cs="宋体"/>
          <w:kern w:val="0"/>
          <w:sz w:val="24"/>
          <w:szCs w:val="24"/>
          <w:u w:val="single"/>
          <w:lang w:val="en-US" w:eastAsia="zh-CN"/>
        </w:rPr>
        <w:t xml:space="preserve">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宋体" w:hAnsi="宋体" w:cs="宋体"/>
                <w:sz w:val="21"/>
                <w:szCs w:val="21"/>
              </w:rPr>
            </w:pPr>
            <w:r>
              <w:rPr>
                <w:rFonts w:hint="eastAsia" w:ascii="宋体" w:hAnsi="宋体" w:cs="宋体"/>
                <w:sz w:val="21"/>
                <w:szCs w:val="21"/>
              </w:rPr>
              <w:t>参数性质</w:t>
            </w: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sz w:val="21"/>
                <w:szCs w:val="21"/>
              </w:rPr>
            </w:pPr>
            <w:r>
              <w:rPr>
                <w:rFonts w:hint="eastAsia" w:ascii="宋体" w:hAnsi="宋体" w:cs="宋体"/>
                <w:sz w:val="21"/>
                <w:szCs w:val="21"/>
              </w:rPr>
              <w:t>编号</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ascii="宋体" w:hAnsi="宋体" w:cs="宋体"/>
                <w:sz w:val="21"/>
                <w:szCs w:val="21"/>
              </w:rPr>
            </w:pPr>
            <w:r>
              <w:rPr>
                <w:rFonts w:hint="eastAsia" w:ascii="宋体" w:hAnsi="宋体" w:cs="宋体"/>
                <w:sz w:val="21"/>
                <w:szCs w:val="21"/>
              </w:rPr>
              <w:t>技术参数和性能指标</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1</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eastAsiaTheme="minorEastAsia"/>
                <w:sz w:val="21"/>
                <w:szCs w:val="21"/>
                <w:lang w:eastAsia="zh-CN"/>
              </w:rPr>
            </w:pPr>
            <w:r>
              <w:rPr>
                <w:rFonts w:hint="eastAsia" w:ascii="宋体" w:hAnsi="宋体" w:cs="宋体"/>
                <w:sz w:val="21"/>
                <w:szCs w:val="21"/>
                <w:lang w:eastAsia="zh-CN"/>
              </w:rPr>
              <w:t>投标人应具有省、自治区级卫健委行政审批通过的“放射卫生技术服务机构资质证书”，且在有效期内。其技术服务范围应至少包含“放射诊疗建设项目职业病危害放射防护评价（甲级）”和“放射卫生防护检测（包括应用质量性能检测）”等项目。</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2</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eastAsiaTheme="minorEastAsia"/>
                <w:sz w:val="21"/>
                <w:szCs w:val="21"/>
                <w:lang w:eastAsia="zh-CN"/>
              </w:rPr>
            </w:pPr>
            <w:r>
              <w:rPr>
                <w:rFonts w:hint="eastAsia" w:ascii="宋体" w:hAnsi="宋体" w:cs="宋体"/>
                <w:sz w:val="21"/>
                <w:szCs w:val="21"/>
                <w:lang w:eastAsia="zh-CN"/>
              </w:rPr>
              <w:t>投标人应具有省、自治区级质量技术监督局审查批准的“检验检测机构资质认定证书”，且在有效期内。其检验检测能力应满足本项目检测需求。</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3</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eastAsiaTheme="minorEastAsia"/>
                <w:sz w:val="21"/>
                <w:szCs w:val="21"/>
                <w:lang w:eastAsia="zh-CN"/>
              </w:rPr>
            </w:pPr>
            <w:r>
              <w:rPr>
                <w:rFonts w:hint="eastAsia" w:ascii="宋体" w:hAnsi="宋体" w:cs="宋体"/>
                <w:sz w:val="21"/>
                <w:szCs w:val="21"/>
                <w:lang w:eastAsia="zh-CN"/>
              </w:rPr>
              <w:t>投标人针对本次提供的技术检测服务，应确保能通过鄂尔多斯市卫生健康委和鄂尔多斯市生态环境局等主管部门的监督检查。</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4</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cs="宋体" w:eastAsiaTheme="minorEastAsia"/>
                <w:sz w:val="21"/>
                <w:szCs w:val="21"/>
                <w:lang w:val="en-US" w:eastAsia="zh-CN"/>
              </w:rPr>
            </w:pPr>
            <w:r>
              <w:rPr>
                <w:rFonts w:hint="eastAsia" w:ascii="宋体" w:hAnsi="宋体" w:cs="宋体"/>
                <w:sz w:val="21"/>
                <w:szCs w:val="21"/>
                <w:lang w:eastAsia="zh-CN"/>
              </w:rPr>
              <w:t>本项目包含东胜部和康巴什部两部分检测服务内容，需分别报价。东胜部检测服务报价不得超过</w:t>
            </w:r>
            <w:r>
              <w:rPr>
                <w:rFonts w:hint="eastAsia" w:ascii="宋体" w:hAnsi="宋体" w:cs="宋体"/>
                <w:sz w:val="21"/>
                <w:szCs w:val="21"/>
                <w:lang w:val="en-US" w:eastAsia="zh-CN"/>
              </w:rPr>
              <w:t>12万元，康巴什部检测服务报价不得超过6万元。</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cs="宋体"/>
                <w:sz w:val="21"/>
                <w:szCs w:val="21"/>
                <w:lang w:val="en-US" w:eastAsia="zh-CN"/>
              </w:rPr>
            </w:pPr>
            <w:r>
              <w:rPr>
                <w:rFonts w:hint="eastAsia" w:ascii="宋体" w:hAnsi="宋体" w:cs="宋体"/>
                <w:sz w:val="21"/>
                <w:szCs w:val="21"/>
                <w:lang w:val="en-US" w:eastAsia="zh-CN"/>
              </w:rPr>
              <w:t>5</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sz w:val="21"/>
                <w:szCs w:val="21"/>
                <w:lang w:eastAsia="zh-CN"/>
              </w:rPr>
            </w:pPr>
            <w:r>
              <w:rPr>
                <w:rFonts w:hint="eastAsia" w:ascii="宋体" w:hAnsi="宋体" w:cs="宋体"/>
                <w:sz w:val="21"/>
                <w:szCs w:val="21"/>
                <w:lang w:eastAsia="zh-CN"/>
              </w:rPr>
              <w:t>针对不同设备，不同检测项目，应分别报价，附报价明细。</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6</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sz w:val="21"/>
                <w:szCs w:val="21"/>
                <w:lang w:eastAsia="zh-CN"/>
              </w:rPr>
            </w:pPr>
            <w:r>
              <w:rPr>
                <w:rFonts w:hint="eastAsia" w:ascii="宋体" w:hAnsi="宋体" w:cs="宋体"/>
                <w:sz w:val="21"/>
                <w:szCs w:val="21"/>
                <w:lang w:eastAsia="zh-CN"/>
              </w:rPr>
              <w:t>东胜部检测服务内容包括：</w:t>
            </w:r>
          </w:p>
          <w:p>
            <w:pPr>
              <w:widowControl/>
              <w:numPr>
                <w:ilvl w:val="0"/>
                <w:numId w:val="2"/>
              </w:numPr>
              <w:spacing w:line="24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需同时做应用质量性能检测和其工作场所防护监测的设备有：3台血管机、3台64排及以上CT、3台DR、1台数字胃肠机、1台数字化乳腺机、1台口腔全景X光机、1台牙片机、1台口腔CT、1台体外碎石机、1台全身骨密度仪、3台移动DR、1台移动C臂机、1台SPECT。</w:t>
            </w:r>
          </w:p>
          <w:p>
            <w:pPr>
              <w:widowControl/>
              <w:numPr>
                <w:ilvl w:val="0"/>
                <w:numId w:val="2"/>
              </w:numPr>
              <w:spacing w:line="240" w:lineRule="auto"/>
              <w:jc w:val="left"/>
              <w:rPr>
                <w:rFonts w:hint="default" w:ascii="宋体" w:hAnsi="宋体" w:cs="宋体"/>
                <w:sz w:val="21"/>
                <w:szCs w:val="21"/>
                <w:lang w:val="en-US" w:eastAsia="zh-CN"/>
              </w:rPr>
            </w:pPr>
            <w:r>
              <w:rPr>
                <w:rFonts w:hint="eastAsia" w:ascii="宋体" w:hAnsi="宋体" w:cs="宋体"/>
                <w:sz w:val="21"/>
                <w:szCs w:val="21"/>
                <w:lang w:val="en-US" w:eastAsia="zh-CN"/>
              </w:rPr>
              <w:t>1台40排CT只需做控评。</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7</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sz w:val="21"/>
                <w:szCs w:val="21"/>
                <w:lang w:eastAsia="zh-CN"/>
              </w:rPr>
            </w:pPr>
            <w:r>
              <w:rPr>
                <w:rFonts w:hint="eastAsia" w:ascii="宋体" w:hAnsi="宋体" w:cs="宋体"/>
                <w:sz w:val="21"/>
                <w:szCs w:val="21"/>
                <w:lang w:eastAsia="zh-CN"/>
              </w:rPr>
              <w:t>康巴什部检测服务内容包括：</w:t>
            </w:r>
          </w:p>
          <w:p>
            <w:pPr>
              <w:widowControl/>
              <w:numPr>
                <w:ilvl w:val="0"/>
                <w:numId w:val="3"/>
              </w:numPr>
              <w:spacing w:line="24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需同时做应用质量性能检测和其工作场所防护监测的设备有：1台血管机、2台64排CT、1台DR、3台移动DR、2台移动C臂机、1台口腔X光机、1台口腔CT、1台数字化乳腺机、1台数字胃肠机、2台骨密度仪、1台体外碎石机、1台SPECT/CT。</w:t>
            </w:r>
          </w:p>
          <w:p>
            <w:pPr>
              <w:widowControl/>
              <w:numPr>
                <w:ilvl w:val="0"/>
                <w:numId w:val="3"/>
              </w:numPr>
              <w:spacing w:line="24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1台40排CT需做预、控评。</w:t>
            </w:r>
          </w:p>
          <w:p>
            <w:pPr>
              <w:widowControl/>
              <w:numPr>
                <w:ilvl w:val="0"/>
                <w:numId w:val="3"/>
              </w:numPr>
              <w:spacing w:line="240" w:lineRule="auto"/>
              <w:jc w:val="left"/>
              <w:rPr>
                <w:rFonts w:hint="eastAsia" w:ascii="宋体" w:hAnsi="宋体" w:cs="宋体"/>
                <w:sz w:val="21"/>
                <w:szCs w:val="21"/>
                <w:lang w:val="en-US" w:eastAsia="zh-CN"/>
              </w:rPr>
            </w:pPr>
            <w:r>
              <w:rPr>
                <w:rFonts w:hint="eastAsia" w:ascii="宋体" w:hAnsi="宋体" w:cs="宋体"/>
                <w:sz w:val="21"/>
                <w:szCs w:val="21"/>
                <w:lang w:val="en-US" w:eastAsia="zh-CN"/>
              </w:rPr>
              <w:t>只需做工作场所防护监测的有：1台PET/CT、1台回旋加速器和1台医用直线加速器。</w:t>
            </w:r>
          </w:p>
          <w:p>
            <w:pPr>
              <w:widowControl/>
              <w:numPr>
                <w:ilvl w:val="0"/>
                <w:numId w:val="3"/>
              </w:numPr>
              <w:spacing w:line="240" w:lineRule="auto"/>
              <w:jc w:val="left"/>
              <w:rPr>
                <w:rFonts w:hint="eastAsia" w:ascii="宋体" w:hAnsi="宋体" w:cs="宋体"/>
                <w:sz w:val="21"/>
                <w:szCs w:val="21"/>
              </w:rPr>
            </w:pPr>
            <w:r>
              <w:rPr>
                <w:rFonts w:hint="eastAsia" w:ascii="宋体" w:hAnsi="宋体" w:cs="宋体"/>
                <w:sz w:val="21"/>
                <w:szCs w:val="21"/>
                <w:lang w:val="en-US" w:eastAsia="zh-CN"/>
              </w:rPr>
              <w:t>锗68储存间需做防护监测。</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8</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eastAsiaTheme="minorEastAsia"/>
                <w:sz w:val="21"/>
                <w:szCs w:val="21"/>
                <w:lang w:eastAsia="zh-CN"/>
              </w:rPr>
            </w:pPr>
            <w:r>
              <w:rPr>
                <w:rFonts w:hint="eastAsia" w:ascii="宋体" w:hAnsi="宋体" w:cs="宋体"/>
                <w:sz w:val="21"/>
                <w:szCs w:val="21"/>
                <w:lang w:eastAsia="zh-CN"/>
              </w:rPr>
              <w:t>以上所有需做防护监测的项目，在监测报告上应有“</w:t>
            </w:r>
            <w:r>
              <w:rPr>
                <w:rFonts w:hint="eastAsia" w:ascii="宋体" w:hAnsi="宋体" w:cs="宋体"/>
                <w:sz w:val="21"/>
                <w:szCs w:val="21"/>
                <w:lang w:val="en-US" w:eastAsia="zh-CN"/>
              </w:rPr>
              <w:t>CMA许可使用标志</w:t>
            </w:r>
            <w:r>
              <w:rPr>
                <w:rFonts w:hint="eastAsia" w:ascii="宋体" w:hAnsi="宋体" w:cs="宋体"/>
                <w:sz w:val="21"/>
                <w:szCs w:val="21"/>
                <w:lang w:eastAsia="zh-CN"/>
              </w:rPr>
              <w:t>”。</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cs="宋体" w:eastAsiaTheme="minorEastAsia"/>
                <w:sz w:val="21"/>
                <w:szCs w:val="21"/>
                <w:lang w:val="en-US" w:eastAsia="zh-CN"/>
              </w:rPr>
            </w:pPr>
            <w:r>
              <w:rPr>
                <w:rFonts w:hint="eastAsia" w:ascii="宋体" w:hAnsi="宋体" w:cs="宋体"/>
                <w:sz w:val="21"/>
                <w:szCs w:val="21"/>
                <w:lang w:val="en-US" w:eastAsia="zh-CN"/>
              </w:rPr>
              <w:t>9</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宋体" w:hAnsi="宋体" w:cs="宋体" w:eastAsiaTheme="minorEastAsia"/>
                <w:sz w:val="21"/>
                <w:szCs w:val="21"/>
                <w:lang w:eastAsia="zh-CN"/>
              </w:rPr>
            </w:pPr>
            <w:r>
              <w:rPr>
                <w:rFonts w:hint="eastAsia" w:ascii="宋体" w:hAnsi="宋体" w:cs="宋体"/>
                <w:sz w:val="21"/>
                <w:szCs w:val="21"/>
                <w:lang w:eastAsia="zh-CN"/>
              </w:rPr>
              <w:t>同一台设备的应用质量性能检测报告和工作场所防护监测报告应独立出具。</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21"/>
                <w:szCs w:val="21"/>
              </w:rPr>
            </w:pPr>
          </w:p>
        </w:tc>
        <w:tc>
          <w:tcPr>
            <w:tcW w:w="759"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cs="宋体" w:eastAsiaTheme="minorEastAsia"/>
                <w:sz w:val="21"/>
                <w:szCs w:val="21"/>
                <w:lang w:val="en-US" w:eastAsia="zh-CN"/>
              </w:rPr>
            </w:pPr>
            <w:r>
              <w:rPr>
                <w:rFonts w:hint="eastAsia" w:ascii="宋体" w:hAnsi="宋体" w:cs="宋体"/>
                <w:sz w:val="21"/>
                <w:szCs w:val="21"/>
                <w:lang w:val="en-US" w:eastAsia="zh-CN"/>
              </w:rPr>
              <w:t>10</w:t>
            </w:r>
          </w:p>
        </w:tc>
        <w:tc>
          <w:tcPr>
            <w:tcW w:w="7069"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default" w:ascii="宋体" w:hAnsi="宋体" w:cs="宋体" w:eastAsiaTheme="minorEastAsia"/>
                <w:sz w:val="21"/>
                <w:szCs w:val="21"/>
                <w:lang w:val="en-US" w:eastAsia="zh-CN"/>
              </w:rPr>
            </w:pPr>
            <w:r>
              <w:rPr>
                <w:rFonts w:hint="eastAsia" w:ascii="宋体" w:hAnsi="宋体" w:cs="宋体"/>
                <w:sz w:val="21"/>
                <w:szCs w:val="21"/>
                <w:lang w:eastAsia="zh-CN"/>
              </w:rPr>
              <w:t>在合同签订后，</w:t>
            </w:r>
            <w:r>
              <w:rPr>
                <w:rFonts w:hint="eastAsia" w:ascii="宋体" w:hAnsi="宋体" w:cs="宋体"/>
                <w:sz w:val="21"/>
                <w:szCs w:val="21"/>
                <w:lang w:val="en-US" w:eastAsia="zh-CN"/>
              </w:rPr>
              <w:t>10日内完成现场检测，30日内交付检测报告。</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宋体" w:hAnsi="宋体" w:cs="宋体" w:eastAsiaTheme="minorEastAsia"/>
                <w:kern w:val="0"/>
                <w:szCs w:val="21"/>
                <w:lang w:val="en-US" w:eastAsia="zh-CN"/>
              </w:rPr>
            </w:pPr>
            <w:r>
              <w:rPr>
                <w:rFonts w:hint="eastAsia" w:ascii="宋体" w:hAnsi="宋体" w:cs="宋体"/>
                <w:kern w:val="0"/>
                <w:szCs w:val="21"/>
              </w:rPr>
              <w:t>注：</w:t>
            </w:r>
            <w:r>
              <w:rPr>
                <w:rFonts w:hint="eastAsia" w:ascii="宋体" w:hAnsi="宋体" w:cs="宋体"/>
                <w:kern w:val="0"/>
                <w:szCs w:val="21"/>
                <w:lang w:eastAsia="zh-CN"/>
              </w:rPr>
              <w:t>投标人应满足以上所有条款，否则取消投标资格。</w:t>
            </w:r>
          </w:p>
        </w:tc>
      </w:tr>
    </w:tbl>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rPr>
          <w:rFonts w:hint="eastAsia" w:asciiTheme="minorEastAsia" w:hAnsiTheme="minorEastAsia"/>
          <w:b/>
          <w:sz w:val="24"/>
          <w:szCs w:val="24"/>
        </w:rPr>
      </w:pPr>
    </w:p>
    <w:p>
      <w:pPr>
        <w:spacing w:line="360" w:lineRule="auto"/>
        <w:ind w:firstLine="240" w:firstLineChars="100"/>
        <w:rPr>
          <w:rFonts w:hint="eastAsia" w:asciiTheme="minorEastAsia" w:hAnsiTheme="minorEastAsia"/>
          <w:b/>
          <w:sz w:val="24"/>
          <w:szCs w:val="24"/>
        </w:rPr>
      </w:pPr>
    </w:p>
    <w:p>
      <w:pPr>
        <w:spacing w:line="360" w:lineRule="auto"/>
        <w:ind w:firstLine="241" w:firstLineChars="100"/>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w:t>
      </w:r>
      <w:bookmarkStart w:id="1" w:name="_GoBack"/>
      <w:bookmarkEnd w:id="1"/>
      <w:r>
        <w:rPr>
          <w:rFonts w:hint="eastAsia" w:ascii="宋体" w:hAnsi="宋体" w:eastAsia="宋体" w:cs="宋体"/>
          <w:b/>
          <w:color w:val="FF0000"/>
          <w:sz w:val="24"/>
          <w:szCs w:val="24"/>
          <w:lang w:val="en-US" w:eastAsia="zh-CN"/>
        </w:rPr>
        <w:t>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4"/>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3.中标后10个工作日内无正当理由未签订采购合同或拒绝签订采购合同；如有正当理由的，需提供经管理科室负责人及其分管院长签字的情况说明交招标办备案后解除（后附黑名单事项备案表）。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5"/>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6"/>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B18F76"/>
    <w:multiLevelType w:val="singleLevel"/>
    <w:tmpl w:val="AAB18F76"/>
    <w:lvl w:ilvl="0" w:tentative="0">
      <w:start w:val="1"/>
      <w:numFmt w:val="decimal"/>
      <w:suff w:val="nothing"/>
      <w:lvlText w:val="%1）"/>
      <w:lvlJc w:val="left"/>
    </w:lvl>
  </w:abstractNum>
  <w:abstractNum w:abstractNumId="1">
    <w:nsid w:val="0BDFCBE0"/>
    <w:multiLevelType w:val="singleLevel"/>
    <w:tmpl w:val="0BDFCBE0"/>
    <w:lvl w:ilvl="0" w:tentative="0">
      <w:start w:val="1"/>
      <w:numFmt w:val="decimal"/>
      <w:suff w:val="nothing"/>
      <w:lvlText w:val="%1）"/>
      <w:lvlJc w:val="left"/>
    </w:lvl>
  </w:abstractNum>
  <w:abstractNum w:abstractNumId="2">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3">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4">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5">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0556401"/>
    <w:rsid w:val="06B07F83"/>
    <w:rsid w:val="11AB1717"/>
    <w:rsid w:val="11EF4694"/>
    <w:rsid w:val="19BD2CB7"/>
    <w:rsid w:val="222603C1"/>
    <w:rsid w:val="23507ADC"/>
    <w:rsid w:val="25757733"/>
    <w:rsid w:val="267A5F90"/>
    <w:rsid w:val="2B8A6B32"/>
    <w:rsid w:val="2D1D3BDB"/>
    <w:rsid w:val="2FC378C6"/>
    <w:rsid w:val="32944704"/>
    <w:rsid w:val="37FC75FC"/>
    <w:rsid w:val="393C0F46"/>
    <w:rsid w:val="489F057B"/>
    <w:rsid w:val="48DD2DF4"/>
    <w:rsid w:val="4AED3729"/>
    <w:rsid w:val="557D67C8"/>
    <w:rsid w:val="5DFF20EB"/>
    <w:rsid w:val="669049D8"/>
    <w:rsid w:val="67D14995"/>
    <w:rsid w:val="6D4F63E7"/>
    <w:rsid w:val="6F5104C0"/>
    <w:rsid w:val="719B7B32"/>
    <w:rsid w:val="74214671"/>
    <w:rsid w:val="7F112C06"/>
    <w:rsid w:val="7F215BB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2021-11-26T01:33:12Z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63CD922CA341406DB07FCFB8D99CFF60</vt:lpwstr>
  </property>
</Properties>
</file>