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ascii="Tahoma"/>
          <w:b/>
          <w:i w:val="0"/>
          <w:color w:val="333333"/>
          <w:spacing w:val="0"/>
          <w:sz w:val="30"/>
          <w:szCs w:val="30"/>
          <w:lang w:val="en-US" w:eastAsia="zh-CN"/>
        </w:rPr>
        <w:t>急诊科门厅工程</w:t>
      </w:r>
      <w:r>
        <w:rPr>
          <w:rFonts w:ascii="Tahoma"/>
          <w:b/>
          <w:i w:val="0"/>
          <w:color w:val="333333"/>
          <w:spacing w:val="0"/>
          <w:sz w:val="30"/>
          <w:szCs w:val="30"/>
        </w:rPr>
        <w:t>项目</w:t>
      </w:r>
    </w:p>
    <w:p>
      <w:pPr>
        <w:numPr>
          <w:ilvl w:val="0"/>
          <w:numId w:val="0"/>
        </w:numP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2020年12月3日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592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急诊科门厅工程</w:t>
            </w:r>
            <w:r>
              <w:rPr>
                <w:rFonts w:hint="eastAsia" w:ascii="宋体" w:hAnsi="宋体" w:eastAsia="宋体" w:cs="宋体"/>
                <w:sz w:val="24"/>
                <w:szCs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rPr>
                <w:rFonts w:hint="eastAsia" w:ascii="宋体" w:hAnsi="宋体" w:eastAsia="宋体" w:cs="宋体"/>
                <w:lang w:eastAsia="zh-CN"/>
              </w:rPr>
            </w:pPr>
            <w:r>
              <w:rPr>
                <w:rFonts w:ascii="Tahoma"/>
                <w:b w:val="0"/>
                <w:i w:val="0"/>
                <w:color w:val="333333"/>
                <w:spacing w:val="0"/>
                <w:sz w:val="24"/>
                <w:szCs w:val="24"/>
              </w:rPr>
              <w:t>施工地点</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中心医院</w:t>
            </w:r>
            <w:r>
              <w:rPr>
                <w:rFonts w:hint="eastAsia" w:ascii="Tahoma"/>
                <w:b w:val="0"/>
                <w:i w:val="0"/>
                <w:color w:val="333333"/>
                <w:spacing w:val="0"/>
                <w:sz w:val="24"/>
                <w:szCs w:val="24"/>
                <w:lang w:val="en-US" w:eastAsia="zh-CN"/>
              </w:rPr>
              <w:t>东胜</w:t>
            </w:r>
            <w:r>
              <w:rPr>
                <w:rFonts w:ascii="Tahoma"/>
                <w:b w:val="0"/>
                <w:i w:val="0"/>
                <w:color w:val="333333"/>
                <w:spacing w:val="0"/>
                <w:sz w:val="24"/>
                <w:szCs w:val="24"/>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工   期</w:t>
            </w:r>
          </w:p>
        </w:tc>
        <w:tc>
          <w:tcPr>
            <w:tcW w:w="5925" w:type="dxa"/>
            <w:vAlign w:val="center"/>
          </w:tcPr>
          <w:p>
            <w:pPr>
              <w:rPr>
                <w:rFonts w:hint="default" w:ascii="宋体" w:hAnsi="宋体" w:eastAsia="宋体" w:cs="宋体"/>
                <w:sz w:val="24"/>
                <w:szCs w:val="24"/>
                <w:lang w:val="en-US"/>
              </w:rPr>
            </w:pPr>
            <w:r>
              <w:rPr>
                <w:rFonts w:hint="eastAsia" w:ascii="Tahoma"/>
                <w:b w:val="0"/>
                <w:i w:val="0"/>
                <w:color w:val="333333"/>
                <w:spacing w:val="0"/>
                <w:sz w:val="24"/>
                <w:szCs w:val="24"/>
                <w:lang w:val="en-US" w:eastAsia="zh-CN"/>
              </w:rPr>
              <w:t>中标后15日内完工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92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预算金额</w:t>
            </w:r>
          </w:p>
        </w:tc>
        <w:tc>
          <w:tcPr>
            <w:tcW w:w="5925" w:type="dxa"/>
            <w:vAlign w:val="center"/>
          </w:tcPr>
          <w:p>
            <w:pPr>
              <w:rPr>
                <w:rFonts w:hint="eastAsia" w:ascii="宋体" w:hAnsi="宋体" w:eastAsia="宋体" w:cs="宋体"/>
                <w:sz w:val="24"/>
                <w:szCs w:val="24"/>
                <w:lang w:val="en-US" w:eastAsia="zh-CN"/>
              </w:rPr>
            </w:pPr>
            <w:r>
              <w:rPr>
                <w:rFonts w:hint="eastAsia" w:ascii="Tahoma"/>
                <w:b w:val="0"/>
                <w:i w:val="0"/>
                <w:color w:val="333333"/>
                <w:spacing w:val="0"/>
                <w:sz w:val="24"/>
                <w:szCs w:val="24"/>
                <w:lang w:val="en-US" w:eastAsia="zh-CN"/>
              </w:rPr>
              <w:t>272885</w:t>
            </w:r>
            <w:r>
              <w:rPr>
                <w:rFonts w:ascii="Tahoma"/>
                <w:b w:val="0"/>
                <w:i w:val="0"/>
                <w:color w:val="333333"/>
                <w:spacing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00" w:type="dxa"/>
            <w:vAlign w:val="center"/>
          </w:tcPr>
          <w:p>
            <w:pPr>
              <w:rPr>
                <w:rFonts w:ascii="Tahoma"/>
                <w:b w:val="0"/>
                <w:i w:val="0"/>
                <w:color w:val="333333"/>
                <w:spacing w:val="0"/>
                <w:sz w:val="24"/>
                <w:szCs w:val="24"/>
              </w:rPr>
            </w:pPr>
            <w:r>
              <w:rPr>
                <w:rFonts w:ascii="Tahoma"/>
                <w:b w:val="0"/>
                <w:i w:val="0"/>
                <w:color w:val="333333"/>
                <w:spacing w:val="0"/>
                <w:sz w:val="24"/>
                <w:szCs w:val="24"/>
              </w:rPr>
              <w:t>进场时间</w:t>
            </w:r>
          </w:p>
        </w:tc>
        <w:tc>
          <w:tcPr>
            <w:tcW w:w="5925" w:type="dxa"/>
            <w:vAlign w:val="center"/>
          </w:tcPr>
          <w:p>
            <w:pPr>
              <w:rPr>
                <w:rFonts w:hint="eastAsia" w:ascii="Tahoma"/>
                <w:b w:val="0"/>
                <w:i w:val="0"/>
                <w:color w:val="333333"/>
                <w:spacing w:val="0"/>
                <w:sz w:val="24"/>
                <w:szCs w:val="24"/>
                <w:lang w:val="en-US" w:eastAsia="zh-CN"/>
              </w:rPr>
            </w:pPr>
            <w:r>
              <w:rPr>
                <w:rFonts w:ascii="Tahoma"/>
                <w:b w:val="0"/>
                <w:i w:val="0"/>
                <w:color w:val="333333"/>
                <w:spacing w:val="0"/>
                <w:sz w:val="24"/>
                <w:szCs w:val="24"/>
              </w:rPr>
              <w:t>合同签订后5日内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工程完工验收合格后付90%，剩余10%</w:t>
            </w:r>
            <w:r>
              <w:rPr>
                <w:rFonts w:hint="eastAsia" w:ascii="Tahoma"/>
                <w:b w:val="0"/>
                <w:i w:val="0"/>
                <w:color w:val="333333"/>
                <w:spacing w:val="0"/>
                <w:sz w:val="24"/>
                <w:szCs w:val="24"/>
                <w:lang w:val="en-US" w:eastAsia="zh-CN"/>
              </w:rPr>
              <w:t>待</w:t>
            </w:r>
            <w:r>
              <w:rPr>
                <w:rFonts w:ascii="Tahoma"/>
                <w:b w:val="0"/>
                <w:i w:val="0"/>
                <w:color w:val="333333"/>
                <w:spacing w:val="0"/>
                <w:sz w:val="24"/>
                <w:szCs w:val="24"/>
              </w:rPr>
              <w:t>1年质保期满</w:t>
            </w:r>
            <w:r>
              <w:rPr>
                <w:rFonts w:hint="eastAsia" w:ascii="Tahoma"/>
                <w:b w:val="0"/>
                <w:i w:val="0"/>
                <w:color w:val="333333"/>
                <w:spacing w:val="0"/>
                <w:sz w:val="24"/>
                <w:szCs w:val="24"/>
                <w:lang w:val="en-US" w:eastAsia="zh-CN"/>
              </w:rPr>
              <w:t>无任何质量问题一次性付清。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工程概况</w:t>
      </w:r>
    </w:p>
    <w:p>
      <w:pPr>
        <w:spacing w:line="360" w:lineRule="auto"/>
        <w:ind w:firstLine="480"/>
        <w:jc w:val="left"/>
        <w:rPr>
          <w:rFonts w:ascii="宋体" w:hAnsi="宋体"/>
          <w:sz w:val="24"/>
          <w:szCs w:val="24"/>
        </w:rPr>
      </w:pPr>
      <w:r>
        <w:rPr>
          <w:rFonts w:hint="eastAsia" w:ascii="宋体" w:hAnsi="宋体"/>
          <w:sz w:val="24"/>
          <w:szCs w:val="24"/>
        </w:rPr>
        <w:t>康巴什部急诊科抢救室等区域冬季温度过低，不仅患者反映感觉寒冷，也影响工作人员正常工作，现要改造急诊科门厅</w:t>
      </w:r>
      <w:r>
        <w:rPr>
          <w:rFonts w:ascii="宋体" w:hAnsi="宋体"/>
          <w:sz w:val="24"/>
          <w:szCs w:val="24"/>
        </w:rPr>
        <w:t>。</w:t>
      </w:r>
    </w:p>
    <w:p>
      <w:pPr>
        <w:spacing w:line="360" w:lineRule="auto"/>
        <w:ind w:firstLine="480" w:firstLineChars="200"/>
        <w:rPr>
          <w:rFonts w:hint="eastAsia" w:ascii="宋体" w:hAnsi="宋体"/>
          <w:sz w:val="24"/>
          <w:szCs w:val="24"/>
        </w:rPr>
      </w:pPr>
      <w:r>
        <w:rPr>
          <w:rFonts w:ascii="宋体" w:hAnsi="宋体"/>
          <w:sz w:val="24"/>
          <w:szCs w:val="24"/>
        </w:rPr>
        <w:t>其他要求：违约条款：</w:t>
      </w:r>
      <w:r>
        <w:rPr>
          <w:rFonts w:hint="eastAsia" w:ascii="宋体" w:hAnsi="宋体"/>
          <w:sz w:val="24"/>
          <w:szCs w:val="24"/>
        </w:rPr>
        <w:t>未能按照约定工期完工的，每超工期1天，罚款合同总价款1%。</w:t>
      </w:r>
    </w:p>
    <w:p>
      <w:pPr>
        <w:numPr>
          <w:ilvl w:val="0"/>
          <w:numId w:val="1"/>
        </w:numPr>
        <w:spacing w:line="360" w:lineRule="auto"/>
        <w:ind w:left="0" w:leftChars="0"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施工方案</w:t>
      </w:r>
    </w:p>
    <w:p>
      <w:pPr>
        <w:numPr>
          <w:numId w:val="0"/>
        </w:numPr>
        <w:spacing w:line="360" w:lineRule="auto"/>
        <w:ind w:leftChars="200"/>
        <w:rPr>
          <w:rFonts w:hint="default" w:ascii="宋体" w:hAnsi="宋体"/>
          <w:sz w:val="24"/>
          <w:szCs w:val="24"/>
          <w:lang w:val="en-US" w:eastAsia="zh-CN"/>
        </w:rPr>
      </w:pPr>
      <w:r>
        <w:rPr>
          <w:rFonts w:hint="default" w:ascii="宋体" w:hAnsi="宋体"/>
          <w:sz w:val="24"/>
          <w:szCs w:val="24"/>
          <w:lang w:val="en-US" w:eastAsia="zh-CN"/>
        </w:rPr>
        <w:t>本工程为急诊科门厅改造程，工程改造内容涉及室外台阶、隔断、保温、铝板吊顶内保温封堵及采暖工程。</w:t>
      </w:r>
    </w:p>
    <w:p>
      <w:pPr>
        <w:numPr>
          <w:numId w:val="0"/>
        </w:numPr>
        <w:spacing w:line="360" w:lineRule="auto"/>
        <w:ind w:leftChars="200"/>
        <w:rPr>
          <w:rFonts w:hint="default" w:ascii="宋体" w:hAnsi="宋体"/>
          <w:sz w:val="24"/>
          <w:szCs w:val="24"/>
          <w:lang w:val="en-US" w:eastAsia="zh-CN"/>
        </w:rPr>
      </w:pPr>
      <w:r>
        <w:rPr>
          <w:rFonts w:hint="default" w:ascii="宋体" w:hAnsi="宋体"/>
          <w:sz w:val="24"/>
          <w:szCs w:val="24"/>
          <w:lang w:val="en-US" w:eastAsia="zh-CN"/>
        </w:rPr>
        <w:t>1.室外施工部分包含拆除、恢复门厅下石材，开挖门厅基础，基础开挖深度为80cm，宽50cm，其中30cm厚防冻砂，50cm 厚C30砼条形基础。</w:t>
      </w:r>
    </w:p>
    <w:p>
      <w:pPr>
        <w:numPr>
          <w:numId w:val="0"/>
        </w:numPr>
        <w:spacing w:line="360" w:lineRule="auto"/>
        <w:ind w:leftChars="200"/>
        <w:rPr>
          <w:rFonts w:hint="default" w:ascii="宋体" w:hAnsi="宋体"/>
          <w:sz w:val="24"/>
          <w:szCs w:val="24"/>
          <w:lang w:val="en-US" w:eastAsia="zh-CN"/>
        </w:rPr>
      </w:pPr>
      <w:r>
        <w:rPr>
          <w:rFonts w:hint="default" w:ascii="宋体" w:hAnsi="宋体"/>
          <w:sz w:val="24"/>
          <w:szCs w:val="24"/>
          <w:lang w:val="en-US" w:eastAsia="zh-CN"/>
        </w:rPr>
        <w:t>2.隔断按图纸样式进行施工，下部为3mm铝单板幕墙，玻璃幕墙玻璃采用6+12A+6LOW玻璃，门全部采用感应门，感应器采用进口优质感应器，车库门宽度满足停车要求，下部隔断需做100厚岩棉保温，保证室内温度。</w:t>
      </w:r>
    </w:p>
    <w:p>
      <w:pPr>
        <w:numPr>
          <w:numId w:val="0"/>
        </w:numPr>
        <w:spacing w:line="360" w:lineRule="auto"/>
        <w:ind w:leftChars="200"/>
        <w:rPr>
          <w:rFonts w:hint="default" w:ascii="宋体" w:hAnsi="宋体"/>
          <w:sz w:val="24"/>
          <w:szCs w:val="24"/>
          <w:lang w:val="en-US" w:eastAsia="zh-CN"/>
        </w:rPr>
      </w:pPr>
      <w:r>
        <w:rPr>
          <w:rFonts w:hint="default" w:ascii="宋体" w:hAnsi="宋体"/>
          <w:sz w:val="24"/>
          <w:szCs w:val="24"/>
          <w:lang w:val="en-US" w:eastAsia="zh-CN"/>
        </w:rPr>
        <w:t>3.因原有干挂石材及铝板吊顶不拆除，需做好干挂石材内的保温处理（南墙内及柱内），铝板吊顶拆除做好立面保温封堵后重新恢复吊顶。</w:t>
      </w:r>
    </w:p>
    <w:p>
      <w:pPr>
        <w:numPr>
          <w:numId w:val="0"/>
        </w:numPr>
        <w:spacing w:line="360" w:lineRule="auto"/>
        <w:ind w:leftChars="200"/>
        <w:rPr>
          <w:rFonts w:hint="default" w:ascii="宋体" w:hAnsi="宋体"/>
          <w:sz w:val="24"/>
          <w:szCs w:val="24"/>
          <w:lang w:val="en-US" w:eastAsia="zh-CN"/>
        </w:rPr>
      </w:pPr>
      <w:r>
        <w:rPr>
          <w:rFonts w:hint="default" w:ascii="宋体" w:hAnsi="宋体"/>
          <w:sz w:val="24"/>
          <w:szCs w:val="24"/>
          <w:lang w:val="en-US" w:eastAsia="zh-CN"/>
        </w:rPr>
        <w:t>4.采暖主管需从地下室主管开孔引至用暖点，管道全部采用地埋PPR管，供暖主管直径为PPR50，详见施工图纸。</w:t>
      </w:r>
    </w:p>
    <w:p>
      <w:pPr>
        <w:numPr>
          <w:numId w:val="0"/>
        </w:numPr>
        <w:spacing w:line="360" w:lineRule="auto"/>
        <w:ind w:leftChars="200"/>
        <w:rPr>
          <w:rFonts w:hint="default" w:ascii="宋体" w:hAnsi="宋体"/>
          <w:sz w:val="24"/>
          <w:szCs w:val="24"/>
          <w:lang w:val="en-US" w:eastAsia="zh-CN"/>
        </w:rPr>
      </w:pPr>
      <w:r>
        <w:rPr>
          <w:rFonts w:hint="default" w:ascii="宋体" w:hAnsi="宋体"/>
          <w:sz w:val="24"/>
          <w:szCs w:val="24"/>
          <w:lang w:val="en-US" w:eastAsia="zh-CN"/>
        </w:rPr>
        <w:t>5.清单未进事项及工程量由施工单位自行现场核实，本工程采用总价合同，工程量及单价均不进行调整。</w:t>
      </w:r>
    </w:p>
    <w:p>
      <w:pPr>
        <w:numPr>
          <w:numId w:val="0"/>
        </w:numPr>
        <w:spacing w:line="360" w:lineRule="auto"/>
        <w:ind w:leftChars="200"/>
        <w:rPr>
          <w:rFonts w:hint="eastAsia" w:ascii="宋体" w:hAnsi="宋体"/>
          <w:b/>
          <w:bCs/>
          <w:sz w:val="24"/>
          <w:szCs w:val="24"/>
          <w:lang w:val="en-US" w:eastAsia="zh-CN"/>
        </w:rPr>
      </w:pPr>
      <w:r>
        <w:rPr>
          <w:rFonts w:hint="eastAsia" w:ascii="宋体" w:hAnsi="宋体"/>
          <w:b/>
          <w:bCs/>
          <w:sz w:val="24"/>
          <w:szCs w:val="24"/>
          <w:lang w:val="en-US" w:eastAsia="zh-CN"/>
        </w:rPr>
        <w:t>四、门厅图纸</w:t>
      </w:r>
    </w:p>
    <w:p>
      <w:pPr>
        <w:numPr>
          <w:numId w:val="0"/>
        </w:numPr>
        <w:spacing w:line="360" w:lineRule="auto"/>
        <w:ind w:leftChars="200"/>
        <w:rPr>
          <w:rFonts w:hint="eastAsia" w:ascii="宋体" w:hAnsi="宋体"/>
          <w:b/>
          <w:bCs/>
          <w:sz w:val="24"/>
          <w:szCs w:val="24"/>
          <w:lang w:val="en-US" w:eastAsia="zh-CN"/>
        </w:rPr>
      </w:pPr>
      <w:r>
        <w:drawing>
          <wp:inline distT="0" distB="0" distL="114300" distR="114300">
            <wp:extent cx="5273040" cy="2734945"/>
            <wp:effectExtent l="0" t="0" r="3810"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273040" cy="2734945"/>
                    </a:xfrm>
                    <a:prstGeom prst="rect">
                      <a:avLst/>
                    </a:prstGeom>
                    <a:noFill/>
                    <a:ln>
                      <a:noFill/>
                    </a:ln>
                  </pic:spPr>
                </pic:pic>
              </a:graphicData>
            </a:graphic>
          </wp:inline>
        </w:drawing>
      </w:r>
    </w:p>
    <w:p>
      <w:pPr>
        <w:numPr>
          <w:numId w:val="0"/>
        </w:numPr>
        <w:spacing w:line="360" w:lineRule="auto"/>
        <w:rPr>
          <w:rFonts w:hint="default" w:ascii="宋体" w:hAnsi="宋体"/>
          <w:b/>
          <w:bCs/>
          <w:sz w:val="24"/>
          <w:szCs w:val="24"/>
          <w:lang w:val="en-US" w:eastAsia="zh-CN"/>
        </w:rPr>
      </w:pPr>
    </w:p>
    <w:p>
      <w:pPr>
        <w:spacing w:line="360" w:lineRule="auto"/>
        <w:ind w:firstLine="241" w:firstLineChars="100"/>
        <w:rPr>
          <w:rFonts w:hint="eastAsia" w:ascii="宋体" w:hAnsi="宋体" w:cs="宋体"/>
          <w:b w:val="0"/>
          <w:bCs/>
          <w:kern w:val="0"/>
          <w:sz w:val="21"/>
          <w:szCs w:val="21"/>
          <w:lang w:val="en-US" w:eastAsia="zh-CN"/>
        </w:rPr>
      </w:pPr>
      <w:r>
        <w:rPr>
          <w:rFonts w:hint="eastAsia" w:asciiTheme="minorEastAsia" w:hAnsiTheme="minorEastAsia"/>
          <w:b/>
          <w:bCs/>
          <w:sz w:val="24"/>
          <w:szCs w:val="24"/>
          <w:lang w:val="en-US" w:eastAsia="zh-CN"/>
        </w:rPr>
        <w:t>五、</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合理低价法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投标人是法人的审查会计师事务所出具的2020年度财务审计报告。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bookmarkStart w:id="1" w:name="_GoBack"/>
      <w:bookmarkEnd w:id="1"/>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市中心医院北门西侧人行道路北，百家汇胡同内向北走50米，路东院内办公楼（原工商所办公楼）三楼305室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单位名称：鄂尔多斯市中心医院（内蒙古自治区超声影像研究所）</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履约保证金待工程验收合格后退还。履约金的退还需先经总务科负责人审核签字，然后持工程验收单及保证金收据到招标办签字或盖章，最后经财务科负责人签字后办理退还。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七、项目管理机构</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十二、参加政府采购前三年内在经营活动中无重大违法记录书面声明 </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十三、工程量清单</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numPr>
          <w:ilvl w:val="0"/>
          <w:numId w:val="4"/>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131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2336;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0288;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九、相关业绩证明材料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十二、参加政府采购前三年内在经营活动中无重大违法记录书面声明 </w:t>
      </w:r>
    </w:p>
    <w:p>
      <w:pPr>
        <w:tabs>
          <w:tab w:val="left" w:pos="876"/>
        </w:tabs>
        <w:bidi w:val="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十三、工程量清单</w:t>
      </w:r>
    </w:p>
    <w:p>
      <w:pPr>
        <w:tabs>
          <w:tab w:val="left" w:pos="876"/>
        </w:tabs>
        <w:bidi w:val="0"/>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十四、其他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240CE15E"/>
    <w:multiLevelType w:val="singleLevel"/>
    <w:tmpl w:val="240CE15E"/>
    <w:lvl w:ilvl="0" w:tentative="0">
      <w:start w:val="6"/>
      <w:numFmt w:val="chineseCounting"/>
      <w:suff w:val="nothing"/>
      <w:lvlText w:val="%1、"/>
      <w:lvlJc w:val="left"/>
      <w:rPr>
        <w:rFonts w:hint="eastAsia"/>
      </w:r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7C91F3AF"/>
    <w:multiLevelType w:val="singleLevel"/>
    <w:tmpl w:val="7C91F3AF"/>
    <w:lvl w:ilvl="0" w:tentative="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8B576F"/>
    <w:rsid w:val="027E2104"/>
    <w:rsid w:val="030D75C3"/>
    <w:rsid w:val="036A0F34"/>
    <w:rsid w:val="04D74F47"/>
    <w:rsid w:val="069429D0"/>
    <w:rsid w:val="069D5FAD"/>
    <w:rsid w:val="07C64EDC"/>
    <w:rsid w:val="08DB2790"/>
    <w:rsid w:val="0C8920AB"/>
    <w:rsid w:val="0E280BA1"/>
    <w:rsid w:val="0E8F386B"/>
    <w:rsid w:val="10D51590"/>
    <w:rsid w:val="11C13E79"/>
    <w:rsid w:val="141960BC"/>
    <w:rsid w:val="14511D5D"/>
    <w:rsid w:val="14597EA8"/>
    <w:rsid w:val="149B26E4"/>
    <w:rsid w:val="14A30191"/>
    <w:rsid w:val="18121689"/>
    <w:rsid w:val="18803BFB"/>
    <w:rsid w:val="1B031D68"/>
    <w:rsid w:val="1C5B1556"/>
    <w:rsid w:val="1E081EC2"/>
    <w:rsid w:val="1E165FD0"/>
    <w:rsid w:val="225B4788"/>
    <w:rsid w:val="23C451C6"/>
    <w:rsid w:val="26283EB2"/>
    <w:rsid w:val="26E23DC6"/>
    <w:rsid w:val="29111AF1"/>
    <w:rsid w:val="295579BA"/>
    <w:rsid w:val="2C4241C8"/>
    <w:rsid w:val="2F534F90"/>
    <w:rsid w:val="2FE43113"/>
    <w:rsid w:val="31EE4882"/>
    <w:rsid w:val="333F7051"/>
    <w:rsid w:val="33F96FD6"/>
    <w:rsid w:val="34481B5C"/>
    <w:rsid w:val="37E01129"/>
    <w:rsid w:val="38BD12DD"/>
    <w:rsid w:val="39EF7A7C"/>
    <w:rsid w:val="3E843922"/>
    <w:rsid w:val="3E94009E"/>
    <w:rsid w:val="3FB454E1"/>
    <w:rsid w:val="43E1752F"/>
    <w:rsid w:val="4803283D"/>
    <w:rsid w:val="4B645A8C"/>
    <w:rsid w:val="4B8219EB"/>
    <w:rsid w:val="4C0130D0"/>
    <w:rsid w:val="4C2B118A"/>
    <w:rsid w:val="4C873D0A"/>
    <w:rsid w:val="4DE61182"/>
    <w:rsid w:val="4E7D75B9"/>
    <w:rsid w:val="4F4C28E7"/>
    <w:rsid w:val="4FD40F9E"/>
    <w:rsid w:val="51827267"/>
    <w:rsid w:val="52F97BD0"/>
    <w:rsid w:val="56B63A7F"/>
    <w:rsid w:val="56D4087D"/>
    <w:rsid w:val="57224BDA"/>
    <w:rsid w:val="582F100E"/>
    <w:rsid w:val="5A5D2403"/>
    <w:rsid w:val="5B6E25BC"/>
    <w:rsid w:val="5B7C6170"/>
    <w:rsid w:val="5CBB64D2"/>
    <w:rsid w:val="5CF27DD3"/>
    <w:rsid w:val="5E132A05"/>
    <w:rsid w:val="5F334CEB"/>
    <w:rsid w:val="5FB4161A"/>
    <w:rsid w:val="602C1CF6"/>
    <w:rsid w:val="60541B24"/>
    <w:rsid w:val="613C6BCD"/>
    <w:rsid w:val="64BB1E86"/>
    <w:rsid w:val="66343542"/>
    <w:rsid w:val="667B1E6E"/>
    <w:rsid w:val="66A65A6B"/>
    <w:rsid w:val="67E63E11"/>
    <w:rsid w:val="683C6BCF"/>
    <w:rsid w:val="69BC0519"/>
    <w:rsid w:val="6A8F035A"/>
    <w:rsid w:val="6BBC6069"/>
    <w:rsid w:val="6D320A99"/>
    <w:rsid w:val="6D901E35"/>
    <w:rsid w:val="6DA01355"/>
    <w:rsid w:val="6F6367E4"/>
    <w:rsid w:val="731E024A"/>
    <w:rsid w:val="758F3DF0"/>
    <w:rsid w:val="75927BBA"/>
    <w:rsid w:val="75CB3919"/>
    <w:rsid w:val="76437B2F"/>
    <w:rsid w:val="76624DF0"/>
    <w:rsid w:val="77246C60"/>
    <w:rsid w:val="77D96CDB"/>
    <w:rsid w:val="77E46B25"/>
    <w:rsid w:val="791B65A9"/>
    <w:rsid w:val="7B8F50A9"/>
    <w:rsid w:val="7CE26535"/>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2"/>
    <w:basedOn w:val="9"/>
    <w:qFormat/>
    <w:uiPriority w:val="0"/>
    <w:rPr>
      <w:rFonts w:hint="eastAsia" w:ascii="宋体" w:hAnsi="宋体" w:eastAsia="宋体" w:cs="宋体"/>
      <w:b/>
      <w:color w:val="000000"/>
      <w:sz w:val="24"/>
      <w:szCs w:val="24"/>
      <w:u w:val="none"/>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eastAsia" w:ascii="宋体" w:hAnsi="宋体" w:eastAsia="宋体" w:cs="宋体"/>
      <w:b/>
      <w:color w:val="000000"/>
      <w:sz w:val="24"/>
      <w:szCs w:val="24"/>
      <w:u w:val="none"/>
    </w:rPr>
  </w:style>
  <w:style w:type="character" w:customStyle="1" w:styleId="13">
    <w:name w:val="font141"/>
    <w:basedOn w:val="9"/>
    <w:qFormat/>
    <w:uiPriority w:val="0"/>
    <w:rPr>
      <w:rFonts w:hint="eastAsia" w:ascii="宋体" w:hAnsi="宋体" w:eastAsia="宋体" w:cs="宋体"/>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2019-10-29T03:34:00Z</cp:lastPrinted>
  <dcterms:modified xsi:type="dcterms:W3CDTF">2021-12-03T07:25:50Z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4D80370DF5354E4886C92A6BCCE89726</vt:lpwstr>
  </property>
</Properties>
</file>