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YAG激光治疗仪项目（二次）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YAG激光治疗仪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1）甲方在设备安装调试验收合格正常使用后，支付总货款的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0%（质保金除外）；</w:t>
            </w:r>
          </w:p>
          <w:p>
            <w:pPr>
              <w:rPr>
                <w:rFonts w:hint="eastAsia" w:ascii="宋体" w:hAnsi="宋体" w:eastAsia="宋体" w:cs="宋体"/>
                <w:sz w:val="24"/>
                <w:szCs w:val="24"/>
              </w:rPr>
            </w:pPr>
            <w:r>
              <w:rPr>
                <w:rFonts w:hint="eastAsia" w:ascii="宋体" w:hAnsi="宋体" w:eastAsia="宋体" w:cs="宋体"/>
                <w:sz w:val="24"/>
                <w:szCs w:val="24"/>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包含1台YAG激光治疗仪，用于青光眼、白内障等手术</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w:t>
      </w:r>
      <w:bookmarkStart w:id="1" w:name="_GoBack"/>
      <w:bookmarkEnd w:id="1"/>
      <w:r>
        <w:rPr>
          <w:rFonts w:hint="eastAsia" w:ascii="宋体" w:hAnsi="宋体" w:cs="宋体"/>
          <w:sz w:val="24"/>
          <w:szCs w:val="24"/>
        </w:rPr>
        <w:t>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val="en-US" w:eastAsia="zh-CN"/>
              </w:rPr>
              <w:t>YAG激光治疗仪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YAG激光治疗仪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sz w:val="21"/>
                <w:szCs w:val="21"/>
              </w:rPr>
            </w:pPr>
            <w:r>
              <w:rPr>
                <w:rFonts w:hint="eastAsia" w:ascii="宋体" w:hAnsi="宋体" w:cs="宋体"/>
                <w:sz w:val="21"/>
                <w:szCs w:val="21"/>
              </w:rPr>
              <w:t>参数性质</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1"/>
                <w:szCs w:val="21"/>
              </w:rPr>
            </w:pPr>
            <w:r>
              <w:rPr>
                <w:rFonts w:hint="eastAsia" w:ascii="宋体" w:hAnsi="宋体" w:cs="宋体"/>
                <w:sz w:val="21"/>
                <w:szCs w:val="21"/>
              </w:rPr>
              <w:t>编号</w:t>
            </w:r>
          </w:p>
        </w:tc>
        <w:tc>
          <w:tcPr>
            <w:tcW w:w="70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1"/>
                <w:szCs w:val="21"/>
              </w:rPr>
            </w:pPr>
            <w:r>
              <w:rPr>
                <w:rFonts w:hint="eastAsia" w:ascii="宋体" w:hAnsi="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治疗激光为Nd:YAG。</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波长：1064纳米。</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发射方式：基模，Q开关模式。</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发射能量：</w:t>
            </w:r>
          </w:p>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单脉冲：0.2-10毫焦；</w:t>
            </w:r>
          </w:p>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双脉冲：0.3-20毫焦；</w:t>
            </w:r>
          </w:p>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三脉冲：0.4-30毫焦；</w:t>
            </w:r>
          </w:p>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连续可调。</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光斑尺寸：8微米。</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爆破模式：1、2、3脉冲/爆破，每脉冲间隔25微秒。</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7</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脉冲宽度：≤4ns。</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8</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重复频率：</w:t>
            </w:r>
            <w:r>
              <w:rPr>
                <w:rFonts w:hint="default" w:ascii="宋体" w:hAnsi="宋体" w:cs="宋体"/>
                <w:b w:val="0"/>
                <w:bCs w:val="0"/>
                <w:kern w:val="0"/>
                <w:sz w:val="21"/>
                <w:szCs w:val="21"/>
                <w:lang w:val="en-US" w:eastAsia="zh-CN" w:bidi="lo-LA"/>
              </w:rPr>
              <w:t>≥</w:t>
            </w:r>
            <w:r>
              <w:rPr>
                <w:rFonts w:hint="eastAsia" w:ascii="宋体" w:hAnsi="宋体" w:cs="宋体"/>
                <w:b w:val="0"/>
                <w:bCs w:val="0"/>
                <w:kern w:val="0"/>
                <w:sz w:val="21"/>
                <w:szCs w:val="21"/>
                <w:lang w:val="en-US" w:eastAsia="zh-CN" w:bidi="lo-LA"/>
              </w:rPr>
              <w:t>2.5Hz。</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9</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抗干扰性及能量补偿功能：有开机自检功能，能够自动能量修正，面板应能显示实际真实能量，应满足医疗级EMC要求。</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10</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激光焦点位移：不小于±500微米，连续可调。</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11</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焦距：</w:t>
            </w:r>
            <w:r>
              <w:rPr>
                <w:rFonts w:hint="default" w:ascii="宋体" w:hAnsi="宋体" w:cs="宋体"/>
                <w:b w:val="0"/>
                <w:bCs w:val="0"/>
                <w:kern w:val="0"/>
                <w:sz w:val="21"/>
                <w:szCs w:val="21"/>
                <w:lang w:val="en-US" w:eastAsia="zh-CN" w:bidi="lo-LA"/>
              </w:rPr>
              <w:t>≥</w:t>
            </w:r>
            <w:r>
              <w:rPr>
                <w:rFonts w:hint="eastAsia" w:ascii="宋体" w:hAnsi="宋体" w:cs="宋体"/>
                <w:b w:val="0"/>
                <w:bCs w:val="0"/>
                <w:kern w:val="0"/>
                <w:sz w:val="21"/>
                <w:szCs w:val="21"/>
                <w:lang w:val="en-US" w:eastAsia="zh-CN" w:bidi="lo-LA"/>
              </w:rPr>
              <w:t>107毫米。</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12</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入射角度：≤16度。</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13</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裂隙灯变倍：至少支持6ｘ、10ｘ、16ｘ、25ｘ、40ｘ。</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14</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裂隙灯：伽利略式，55-72mm，屈光度±5D。</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15</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瞄准光：≤650纳米红光。</w:t>
            </w:r>
          </w:p>
        </w:tc>
      </w:tr>
      <w:tr>
        <w:tblPrEx>
          <w:tblCellMar>
            <w:top w:w="0" w:type="dxa"/>
            <w:left w:w="108" w:type="dxa"/>
            <w:bottom w:w="0" w:type="dxa"/>
            <w:right w:w="108" w:type="dxa"/>
          </w:tblCellMar>
        </w:tblPrEx>
        <w:trPr>
          <w:trHeight w:val="2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w:t>
            </w: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16</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升级功能：可升级为SLT 532nm激光。</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17</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电源：AC 220V/50Hz。</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eastAsia" w:ascii="宋体" w:hAnsi="宋体" w:cs="宋体"/>
                <w:b w:val="0"/>
                <w:bCs w:val="0"/>
                <w:kern w:val="0"/>
                <w:sz w:val="21"/>
                <w:szCs w:val="21"/>
                <w:lang w:val="en-US" w:eastAsia="zh-CN" w:bidi="lo-LA"/>
              </w:rPr>
            </w:pPr>
          </w:p>
        </w:tc>
        <w:tc>
          <w:tcPr>
            <w:tcW w:w="75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center"/>
              <w:outlineLvl w:val="0"/>
              <w:rPr>
                <w:rFonts w:hint="default"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18</w:t>
            </w:r>
          </w:p>
        </w:tc>
        <w:tc>
          <w:tcPr>
            <w:tcW w:w="7069" w:type="dxa"/>
            <w:tcBorders>
              <w:top w:val="single" w:color="auto" w:sz="4" w:space="0"/>
              <w:left w:val="nil"/>
              <w:bottom w:val="single" w:color="auto" w:sz="4" w:space="0"/>
              <w:right w:val="single" w:color="auto" w:sz="4" w:space="0"/>
            </w:tcBorders>
            <w:noWrap w:val="0"/>
            <w:vAlign w:val="center"/>
          </w:tcPr>
          <w:p>
            <w:pPr>
              <w:numPr>
                <w:ilvl w:val="0"/>
                <w:numId w:val="0"/>
              </w:numPr>
              <w:autoSpaceDE w:val="0"/>
              <w:autoSpaceDN w:val="0"/>
              <w:adjustRightInd w:val="0"/>
              <w:spacing w:line="240" w:lineRule="auto"/>
              <w:ind w:leftChars="0"/>
              <w:jc w:val="left"/>
              <w:outlineLvl w:val="0"/>
              <w:rPr>
                <w:rFonts w:hint="eastAsia" w:ascii="宋体" w:hAnsi="宋体" w:cs="宋体"/>
                <w:b w:val="0"/>
                <w:bCs w:val="0"/>
                <w:kern w:val="0"/>
                <w:sz w:val="21"/>
                <w:szCs w:val="21"/>
                <w:lang w:val="en-US" w:eastAsia="zh-CN" w:bidi="lo-LA"/>
              </w:rPr>
            </w:pPr>
            <w:r>
              <w:rPr>
                <w:rFonts w:hint="eastAsia" w:ascii="宋体" w:hAnsi="宋体" w:cs="宋体"/>
                <w:b w:val="0"/>
                <w:bCs w:val="0"/>
                <w:kern w:val="0"/>
                <w:sz w:val="21"/>
                <w:szCs w:val="21"/>
                <w:lang w:val="en-US" w:eastAsia="zh-CN" w:bidi="lo-LA"/>
              </w:rPr>
              <w:t>冷却系统：常温空气冷却</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val="0"/>
                <w:bCs w:val="0"/>
                <w:kern w:val="2"/>
                <w:sz w:val="21"/>
                <w:szCs w:val="21"/>
                <w:lang w:val="en-US" w:eastAsia="zh-CN" w:bidi="ar-SA"/>
              </w:rPr>
            </w:pPr>
            <w:r>
              <w:rPr>
                <w:rFonts w:hint="eastAsia" w:ascii="宋体" w:hAnsi="宋体" w:cs="宋体"/>
                <w:kern w:val="0"/>
                <w:szCs w:val="21"/>
              </w:rPr>
              <w:t>*</w:t>
            </w:r>
          </w:p>
        </w:tc>
        <w:tc>
          <w:tcPr>
            <w:tcW w:w="75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19</w:t>
            </w:r>
          </w:p>
        </w:tc>
        <w:tc>
          <w:tcPr>
            <w:tcW w:w="7069"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pStyle w:val="10"/>
              <w:numPr>
                <w:ilvl w:val="0"/>
                <w:numId w:val="0"/>
              </w:numPr>
              <w:spacing w:line="240" w:lineRule="auto"/>
              <w:ind w:leftChars="0"/>
              <w:rPr>
                <w:rFonts w:hint="eastAsia" w:ascii="宋体" w:hAnsi="宋体" w:eastAsia="宋体" w:cs="宋体"/>
                <w:sz w:val="21"/>
                <w:szCs w:val="21"/>
              </w:rPr>
            </w:pPr>
            <w:r>
              <w:rPr>
                <w:rFonts w:hint="eastAsia" w:ascii="宋体" w:hAnsi="宋体" w:eastAsia="宋体" w:cs="宋体"/>
                <w:sz w:val="21"/>
                <w:szCs w:val="21"/>
              </w:rPr>
              <w:t>注：1.“参数性质”标“*”表示此参数为主要技术参数，不满足任意1条即取消投标资格。</w:t>
            </w:r>
          </w:p>
          <w:p>
            <w:pPr>
              <w:pStyle w:val="10"/>
              <w:numPr>
                <w:ilvl w:val="0"/>
                <w:numId w:val="0"/>
              </w:numPr>
              <w:spacing w:line="240" w:lineRule="auto"/>
              <w:ind w:leftChars="0"/>
              <w:rPr>
                <w:rFonts w:hint="eastAsia" w:ascii="宋体" w:hAnsi="宋体" w:eastAsia="宋体" w:cs="宋体"/>
                <w:sz w:val="21"/>
                <w:szCs w:val="21"/>
              </w:rPr>
            </w:pPr>
            <w:r>
              <w:rPr>
                <w:rFonts w:hint="eastAsia" w:ascii="宋体" w:hAnsi="宋体" w:eastAsia="宋体" w:cs="宋体"/>
                <w:sz w:val="21"/>
                <w:szCs w:val="21"/>
              </w:rPr>
              <w:t>2.非主要技术参数，</w:t>
            </w:r>
            <w:r>
              <w:rPr>
                <w:rFonts w:hint="eastAsia" w:ascii="宋体" w:hAnsi="宋体" w:eastAsia="宋体" w:cs="宋体"/>
                <w:sz w:val="21"/>
                <w:szCs w:val="21"/>
                <w:lang w:eastAsia="zh-CN"/>
              </w:rPr>
              <w:t>超过</w:t>
            </w:r>
            <w:r>
              <w:rPr>
                <w:rFonts w:hint="eastAsia" w:ascii="宋体" w:hAnsi="宋体" w:eastAsia="宋体" w:cs="宋体"/>
                <w:sz w:val="21"/>
                <w:szCs w:val="21"/>
                <w:lang w:val="en-US" w:eastAsia="zh-CN"/>
              </w:rPr>
              <w:t>3</w:t>
            </w:r>
            <w:r>
              <w:rPr>
                <w:rFonts w:hint="eastAsia" w:ascii="宋体" w:hAnsi="宋体" w:eastAsia="宋体" w:cs="宋体"/>
                <w:sz w:val="21"/>
                <w:szCs w:val="21"/>
              </w:rPr>
              <w:t>条不满足即取消投标资格。</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rPr>
          <w:rFonts w:hint="eastAsia" w:eastAsia="宋体" w:asciiTheme="minorEastAsia" w:hAnsiTheme="minorEastAsia"/>
          <w:b/>
          <w:sz w:val="24"/>
          <w:szCs w:val="24"/>
          <w:lang w:val="en-US" w:eastAsia="zh-CN"/>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50E71F6"/>
    <w:rsid w:val="19545A30"/>
    <w:rsid w:val="19BD2CB7"/>
    <w:rsid w:val="20341AF8"/>
    <w:rsid w:val="224C6733"/>
    <w:rsid w:val="23507ADC"/>
    <w:rsid w:val="25757733"/>
    <w:rsid w:val="267A5F90"/>
    <w:rsid w:val="281659F6"/>
    <w:rsid w:val="293A1937"/>
    <w:rsid w:val="2B8A6B32"/>
    <w:rsid w:val="2D1D3BDB"/>
    <w:rsid w:val="2DFB03C5"/>
    <w:rsid w:val="2FC378C6"/>
    <w:rsid w:val="302671DA"/>
    <w:rsid w:val="30D15875"/>
    <w:rsid w:val="3281623F"/>
    <w:rsid w:val="32944704"/>
    <w:rsid w:val="37FC75FC"/>
    <w:rsid w:val="383D56F7"/>
    <w:rsid w:val="393C0F46"/>
    <w:rsid w:val="3E650D1D"/>
    <w:rsid w:val="3E9002A8"/>
    <w:rsid w:val="44AA028A"/>
    <w:rsid w:val="47C04769"/>
    <w:rsid w:val="489F057B"/>
    <w:rsid w:val="4AED3729"/>
    <w:rsid w:val="4E473895"/>
    <w:rsid w:val="557D67C8"/>
    <w:rsid w:val="571E5CB6"/>
    <w:rsid w:val="59137211"/>
    <w:rsid w:val="5C344BB6"/>
    <w:rsid w:val="5DFF20EB"/>
    <w:rsid w:val="5ED418C8"/>
    <w:rsid w:val="616C33F6"/>
    <w:rsid w:val="62E24E32"/>
    <w:rsid w:val="64E47B74"/>
    <w:rsid w:val="6585763E"/>
    <w:rsid w:val="661108EC"/>
    <w:rsid w:val="669049D8"/>
    <w:rsid w:val="67D1499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6260</Words>
  <Characters>7196</Characters>
  <Lines>0</Lines>
  <Paragraphs>0</Paragraphs>
  <TotalTime>0</TotalTime>
  <ScaleCrop>false</ScaleCrop>
  <LinksUpToDate>false</LinksUpToDate>
  <CharactersWithSpaces>7472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2022-09-13T01:12:26Z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7DFE80E38A3B4D8B92A0DB8CA9BAFFB6</vt:lpwstr>
  </property>
  <property fmtid="{D5CDD505-2E9C-101B-9397-08002B2CF9AE}" pid="4" name="commondata">
    <vt:lpwstr>eyJoZGlkIjoiM2I5YmQyM2VlMzIyNzg3MTM0MjMzMjczYWU0N2U3MTcifQ==</vt:lpwstr>
  </property>
</Properties>
</file>