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bookmarkStart w:id="1" w:name="_GoBack"/>
      <w:r>
        <w:rPr>
          <w:rFonts w:hint="eastAsia" w:ascii="宋体" w:hAnsi="宋体" w:eastAsia="宋体" w:cs="宋体"/>
          <w:b/>
          <w:i w:val="0"/>
          <w:caps/>
          <w:color w:val="333333"/>
          <w:spacing w:val="0"/>
          <w:sz w:val="32"/>
          <w:szCs w:val="32"/>
          <w:lang w:val="en-US" w:eastAsia="zh-CN"/>
        </w:rPr>
        <w:t>免散瞳眼底照相机等项目</w:t>
      </w:r>
    </w:p>
    <w:bookmarkEnd w:id="1"/>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免散瞳眼底照相机</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305000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动脉硬化检测仪</w:t>
            </w:r>
          </w:p>
        </w:tc>
        <w:tc>
          <w:tcPr>
            <w:tcW w:w="903"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便携式肌电图诱发电位仪</w:t>
            </w:r>
          </w:p>
        </w:tc>
        <w:tc>
          <w:tcPr>
            <w:tcW w:w="903" w:type="dxa"/>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190000</w:t>
            </w:r>
          </w:p>
        </w:tc>
        <w:tc>
          <w:tcPr>
            <w:tcW w:w="1596"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预算合计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Style w:val="10"/>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1）甲方在设备安装调试验收合格正常使用后，支付总货款的60%，使用一年后支付总货款的30%（质保金除外）；</w:t>
            </w:r>
          </w:p>
          <w:p>
            <w:pPr>
              <w:rPr>
                <w:rFonts w:hint="eastAsia" w:ascii="宋体" w:hAnsi="宋体" w:eastAsia="宋体" w:cs="宋体"/>
                <w:sz w:val="24"/>
                <w:szCs w:val="24"/>
              </w:rPr>
            </w:pPr>
            <w:r>
              <w:rPr>
                <w:rFonts w:hint="eastAsia" w:ascii="宋体" w:hAnsi="宋体" w:eastAsia="宋体" w:cs="宋体"/>
                <w:sz w:val="21"/>
                <w:szCs w:val="21"/>
                <w:lang w:val="en-US" w:eastAsia="zh-CN" w:bidi="ar-SA"/>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ind w:left="0" w:leftChars="0"/>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w:t>
      </w:r>
      <w:r>
        <w:rPr>
          <w:rFonts w:hint="eastAsia" w:ascii="宋体" w:hAnsi="宋体"/>
          <w:sz w:val="24"/>
          <w:szCs w:val="24"/>
          <w:u w:val="single"/>
        </w:rPr>
        <w:t>含</w:t>
      </w:r>
      <w:r>
        <w:rPr>
          <w:rFonts w:hint="eastAsia" w:ascii="宋体" w:hAnsi="宋体"/>
          <w:sz w:val="24"/>
          <w:szCs w:val="24"/>
          <w:u w:val="single"/>
          <w:lang w:val="en-US" w:eastAsia="zh-CN"/>
        </w:rPr>
        <w:t>1台免散瞳眼底照相机、1台动脉硬化检测仪、1台便携式肌电图诱发电位仪和1套MMC管理系统，能够代谢性疾病国家标准化管理。</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val="en-US" w:eastAsia="zh-CN"/>
              </w:rPr>
              <w:t>免散瞳眼底照相机</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eastAsiaTheme="minorEastAsia"/>
                <w:kern w:val="0"/>
                <w:sz w:val="24"/>
                <w:szCs w:val="24"/>
                <w:lang w:val="en-US" w:eastAsia="zh-CN"/>
              </w:rPr>
              <w:t>动脉硬化检测仪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eastAsiaTheme="minorEastAsia"/>
                <w:kern w:val="0"/>
                <w:sz w:val="24"/>
                <w:szCs w:val="24"/>
                <w:lang w:val="en-US" w:eastAsia="zh-CN"/>
              </w:rPr>
              <w:t>便携式肌电图诱发电位仪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免散瞳眼底照相机</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操作模式：</w:t>
            </w: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自动追踪（上下左右）</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自动对焦（前后）</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自动测量</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自动转换左右眼</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操作者方位：</w:t>
            </w: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病人侧</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对侧</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旁侧</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闪光强度：标准4WS，</w:t>
            </w:r>
            <w:r>
              <w:rPr>
                <w:rFonts w:hint="eastAsia" w:ascii="宋体" w:hAnsi="宋体" w:eastAsia="宋体" w:cs="宋体"/>
                <w:kern w:val="0"/>
                <w:sz w:val="21"/>
                <w:szCs w:val="21"/>
                <w:lang w:val="en-US" w:eastAsia="zh-CN"/>
              </w:rPr>
              <w:t>至少</w:t>
            </w:r>
            <w:r>
              <w:rPr>
                <w:rFonts w:hint="eastAsia" w:ascii="宋体" w:hAnsi="宋体" w:eastAsia="宋体" w:cs="宋体"/>
                <w:kern w:val="0"/>
                <w:sz w:val="21"/>
                <w:szCs w:val="21"/>
              </w:rPr>
              <w:t>15档可调</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工作距离：</w:t>
            </w:r>
            <w:r>
              <w:rPr>
                <w:rFonts w:hint="default" w:ascii="Arial" w:hAnsi="Arial" w:eastAsia="宋体" w:cs="Arial"/>
                <w:kern w:val="0"/>
                <w:sz w:val="21"/>
                <w:szCs w:val="21"/>
              </w:rPr>
              <w:t>≥</w:t>
            </w:r>
            <w:r>
              <w:rPr>
                <w:rFonts w:hint="eastAsia" w:ascii="宋体" w:hAnsi="宋体" w:eastAsia="宋体" w:cs="宋体"/>
                <w:kern w:val="0"/>
                <w:sz w:val="21"/>
                <w:szCs w:val="21"/>
              </w:rPr>
              <w:t>34㎜（眼底照相时）</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照相瞳孔直径：</w:t>
            </w:r>
            <w:r>
              <w:rPr>
                <w:rFonts w:hint="default" w:ascii="Arial" w:hAnsi="Arial" w:eastAsia="宋体" w:cs="Arial"/>
                <w:kern w:val="0"/>
                <w:sz w:val="21"/>
                <w:szCs w:val="21"/>
              </w:rPr>
              <w:t>≥</w:t>
            </w:r>
            <w:r>
              <w:rPr>
                <w:rFonts w:hint="eastAsia" w:ascii="宋体" w:hAnsi="宋体" w:eastAsia="宋体" w:cs="宋体"/>
                <w:kern w:val="0"/>
                <w:sz w:val="21"/>
                <w:szCs w:val="21"/>
              </w:rPr>
              <w:t>45º：4.0㎜</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小瞳孔直径：</w:t>
            </w:r>
            <w:r>
              <w:rPr>
                <w:rFonts w:hint="default" w:ascii="Arial" w:hAnsi="Arial" w:eastAsia="宋体" w:cs="Arial"/>
                <w:kern w:val="0"/>
                <w:sz w:val="21"/>
                <w:szCs w:val="21"/>
              </w:rPr>
              <w:t>≥</w:t>
            </w:r>
            <w:r>
              <w:rPr>
                <w:rFonts w:hint="eastAsia" w:ascii="宋体" w:hAnsi="宋体" w:eastAsia="宋体" w:cs="宋体"/>
                <w:kern w:val="0"/>
                <w:sz w:val="21"/>
                <w:szCs w:val="21"/>
              </w:rPr>
              <w:t>3.3㎜</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rPr>
              <w:t>小瞳孔照相：具有小瞳孔光圈、数码对焦和叠加切边辅助功能</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显示屏：</w:t>
            </w:r>
            <w:r>
              <w:rPr>
                <w:rFonts w:hint="eastAsia" w:ascii="宋体" w:hAnsi="宋体" w:eastAsia="宋体" w:cs="宋体"/>
                <w:kern w:val="0"/>
                <w:sz w:val="21"/>
                <w:szCs w:val="21"/>
                <w:lang w:val="en-US" w:eastAsia="zh-CN"/>
              </w:rPr>
              <w:t>不小于</w:t>
            </w:r>
            <w:r>
              <w:rPr>
                <w:rFonts w:hint="eastAsia" w:ascii="宋体" w:hAnsi="宋体" w:eastAsia="宋体" w:cs="宋体"/>
                <w:kern w:val="0"/>
                <w:sz w:val="21"/>
                <w:szCs w:val="21"/>
              </w:rPr>
              <w:t>8英寸触摸屏，可水平旋转360度，垂直旋转180度，具备重力感应</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固视标：</w:t>
            </w:r>
          </w:p>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内部固视标：</w:t>
            </w:r>
            <w:r>
              <w:rPr>
                <w:rFonts w:hint="eastAsia" w:ascii="宋体" w:hAnsi="宋体" w:eastAsia="宋体" w:cs="宋体"/>
                <w:kern w:val="0"/>
                <w:sz w:val="21"/>
                <w:szCs w:val="21"/>
                <w:lang w:val="en-US" w:eastAsia="zh-CN"/>
              </w:rPr>
              <w:t>应</w:t>
            </w:r>
            <w:r>
              <w:rPr>
                <w:rFonts w:hint="eastAsia" w:ascii="宋体" w:hAnsi="宋体" w:eastAsia="宋体" w:cs="宋体"/>
                <w:kern w:val="0"/>
                <w:sz w:val="21"/>
                <w:szCs w:val="21"/>
              </w:rPr>
              <w:t>采用液晶点阵，8种固视标类型，其中周边模式有9点固视标，DCF模式用于糖网筛查</w:t>
            </w:r>
            <w:r>
              <w:rPr>
                <w:rFonts w:hint="eastAsia" w:ascii="宋体" w:hAnsi="宋体" w:eastAsia="宋体" w:cs="宋体"/>
                <w:kern w:val="0"/>
                <w:sz w:val="21"/>
                <w:szCs w:val="21"/>
                <w:lang w:eastAsia="zh-CN"/>
              </w:rPr>
              <w:t>；</w:t>
            </w:r>
          </w:p>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外固视标：三接头外固视标</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rPr>
              <w:t>额托：电动额托自动升降</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可实现</w:t>
            </w:r>
            <w:r>
              <w:rPr>
                <w:rFonts w:hint="eastAsia" w:ascii="宋体" w:hAnsi="宋体" w:eastAsia="宋体" w:cs="宋体"/>
                <w:kern w:val="0"/>
                <w:sz w:val="21"/>
                <w:szCs w:val="21"/>
              </w:rPr>
              <w:t>真实色彩眼底图像</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附加模式：</w:t>
            </w: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立体照相，眼前节照相</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rPr>
              <w:t>储存模式：USB</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数据库系统</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DICO</w:t>
            </w:r>
            <w:r>
              <w:rPr>
                <w:rFonts w:hint="eastAsia" w:ascii="宋体" w:hAnsi="宋体" w:eastAsia="宋体" w:cs="宋体"/>
                <w:kern w:val="0"/>
                <w:sz w:val="21"/>
                <w:szCs w:val="21"/>
                <w:lang w:val="en-US" w:eastAsia="zh-CN"/>
              </w:rPr>
              <w:t>M</w:t>
            </w:r>
            <w:r>
              <w:rPr>
                <w:rFonts w:hint="eastAsia" w:ascii="宋体" w:hAnsi="宋体" w:eastAsia="宋体" w:cs="宋体"/>
                <w:kern w:val="0"/>
                <w:sz w:val="21"/>
                <w:szCs w:val="21"/>
              </w:rPr>
              <w:t>直连，可连接医院PACS</w:t>
            </w:r>
            <w:r>
              <w:rPr>
                <w:rFonts w:hint="eastAsia" w:ascii="宋体" w:hAnsi="宋体" w:eastAsia="宋体" w:cs="宋体"/>
                <w:kern w:val="0"/>
                <w:sz w:val="21"/>
                <w:szCs w:val="21"/>
                <w:lang w:val="en-US" w:eastAsia="zh-CN"/>
              </w:rPr>
              <w:t>等系统。</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rPr>
              <w:t>患者屈光度校正范围：</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无屈光度补偿镜片：-13D至+12D</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使用凹补偿透镜：-12D至-33D</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使用凸补偿透镜：+11D至+40D</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可与“国家标准化代谢性疾病管理中心”（MMC）实现数据传输。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配置电动升降台。</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电源：AC</w:t>
            </w:r>
            <w:r>
              <w:rPr>
                <w:rFonts w:hint="eastAsia" w:ascii="宋体" w:hAnsi="宋体" w:eastAsia="宋体" w:cs="宋体"/>
                <w:kern w:val="0"/>
                <w:sz w:val="21"/>
                <w:szCs w:val="21"/>
                <w:lang w:val="en-US" w:eastAsia="zh-CN"/>
              </w:rPr>
              <w:t>220</w:t>
            </w:r>
            <w:r>
              <w:rPr>
                <w:rFonts w:hint="eastAsia" w:ascii="宋体" w:hAnsi="宋体" w:eastAsia="宋体" w:cs="宋体"/>
                <w:kern w:val="0"/>
                <w:sz w:val="21"/>
                <w:szCs w:val="21"/>
              </w:rPr>
              <w:t>V</w:t>
            </w:r>
            <w:r>
              <w:rPr>
                <w:rFonts w:hint="eastAsia" w:ascii="宋体" w:hAnsi="宋体" w:eastAsia="宋体" w:cs="宋体"/>
                <w:kern w:val="0"/>
                <w:sz w:val="21"/>
                <w:szCs w:val="21"/>
                <w:lang w:val="en-US" w:eastAsia="zh-CN"/>
              </w:rPr>
              <w:t>/50Hz，</w:t>
            </w:r>
            <w:r>
              <w:rPr>
                <w:rFonts w:hint="eastAsia" w:ascii="宋体" w:hAnsi="宋体" w:eastAsia="宋体" w:cs="宋体"/>
                <w:kern w:val="0"/>
                <w:sz w:val="21"/>
                <w:szCs w:val="21"/>
              </w:rPr>
              <w:t>功率输入</w:t>
            </w:r>
            <w:r>
              <w:rPr>
                <w:rFonts w:hint="eastAsia" w:ascii="宋体" w:hAnsi="宋体" w:eastAsia="宋体" w:cs="宋体"/>
                <w:kern w:val="0"/>
                <w:sz w:val="21"/>
                <w:szCs w:val="21"/>
                <w:lang w:val="en-US" w:eastAsia="zh-CN"/>
              </w:rPr>
              <w:t>不超过</w:t>
            </w:r>
            <w:r>
              <w:rPr>
                <w:rFonts w:hint="eastAsia" w:ascii="宋体" w:hAnsi="宋体" w:eastAsia="宋体" w:cs="宋体"/>
                <w:kern w:val="0"/>
                <w:sz w:val="21"/>
                <w:szCs w:val="21"/>
              </w:rPr>
              <w:t>120VA</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配置1套MMC管理系统，包含软件和硬件，其中硬件须提供1套品牌电脑（至少i5 CPU、8G内存、1T硬盘、21寸液晶显示器）、1台身份证读卡器、1把一维扫描枪、1台条码打印机、1台UPS（须满足医院MMC设备功率需求）。</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负责MMC管理系统与医院HIS双向对接。</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注：1.“参数性质”标“*”表示此参数为主要技术参数；</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2.“参数性质”标“</w:t>
            </w:r>
            <w:r>
              <w:rPr>
                <w:rFonts w:hint="eastAsia" w:ascii="宋体" w:hAnsi="宋体" w:eastAsia="宋体" w:cs="宋体"/>
                <w:sz w:val="21"/>
                <w:szCs w:val="21"/>
                <w:lang w:bidi="lo-LA"/>
              </w:rPr>
              <w:t>▲</w:t>
            </w:r>
            <w:r>
              <w:rPr>
                <w:rFonts w:hint="eastAsia" w:ascii="宋体" w:hAnsi="宋体" w:eastAsia="宋体" w:cs="宋体"/>
                <w:kern w:val="0"/>
                <w:sz w:val="21"/>
                <w:szCs w:val="21"/>
              </w:rPr>
              <w:t>”表示此参数为重要技术参数。</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动脉硬化检测仪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18" w:type="dxa"/>
        <w:tblInd w:w="0" w:type="dxa"/>
        <w:tblLayout w:type="fixed"/>
        <w:tblCellMar>
          <w:top w:w="0" w:type="dxa"/>
          <w:left w:w="108" w:type="dxa"/>
          <w:bottom w:w="0" w:type="dxa"/>
          <w:right w:w="108" w:type="dxa"/>
        </w:tblCellMar>
      </w:tblPr>
      <w:tblGrid>
        <w:gridCol w:w="692"/>
        <w:gridCol w:w="1004"/>
        <w:gridCol w:w="6822"/>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1</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能够检测</w:t>
            </w:r>
            <w:r>
              <w:rPr>
                <w:rFonts w:hint="eastAsia" w:ascii="宋体" w:hAnsi="宋体" w:eastAsia="宋体" w:cs="宋体"/>
                <w:kern w:val="0"/>
                <w:sz w:val="21"/>
                <w:szCs w:val="21"/>
              </w:rPr>
              <w:t>PWV（baPWV，血管硬化指数），需测量分段PWV，在同一心动周期内同步检测：baPWV(左)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baPWV(右)</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haPWV（左）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haPWV（右）</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hbPWV（左）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hbPWV（右）</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2</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能够检测</w:t>
            </w:r>
            <w:r>
              <w:rPr>
                <w:rFonts w:hint="eastAsia" w:ascii="宋体" w:hAnsi="宋体" w:eastAsia="宋体" w:cs="宋体"/>
                <w:kern w:val="0"/>
                <w:sz w:val="21"/>
                <w:szCs w:val="21"/>
              </w:rPr>
              <w:t>ABI：踝臂指数</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检测下肢动脉闭塞程度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以评估心脑血管发病风险</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3</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能够检测</w:t>
            </w:r>
            <w:r>
              <w:rPr>
                <w:rFonts w:hint="eastAsia" w:ascii="宋体" w:hAnsi="宋体" w:eastAsia="宋体" w:cs="宋体"/>
                <w:kern w:val="0"/>
                <w:sz w:val="21"/>
                <w:szCs w:val="21"/>
              </w:rPr>
              <w:t>AI：反射波增强指数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4</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能够检测</w:t>
            </w:r>
            <w:r>
              <w:rPr>
                <w:rFonts w:hint="eastAsia" w:ascii="宋体" w:hAnsi="宋体" w:eastAsia="宋体" w:cs="宋体"/>
                <w:kern w:val="0"/>
                <w:sz w:val="21"/>
                <w:szCs w:val="21"/>
              </w:rPr>
              <w:t>ECG(心电)、PCG(心音)、收缩压、舒张压、平均压、PVR、STI、HR、PEP、ET、ET/PEP</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射血指数等</w:t>
            </w:r>
            <w:r>
              <w:rPr>
                <w:rFonts w:hint="eastAsia" w:ascii="宋体" w:hAnsi="宋体" w:eastAsia="宋体" w:cs="宋体"/>
                <w:kern w:val="0"/>
                <w:sz w:val="21"/>
                <w:szCs w:val="21"/>
                <w:lang w:val="en-US" w:eastAsia="zh-CN"/>
              </w:rPr>
              <w:t>至少</w:t>
            </w:r>
            <w:r>
              <w:rPr>
                <w:rFonts w:hint="eastAsia" w:ascii="宋体" w:hAnsi="宋体" w:eastAsia="宋体" w:cs="宋体"/>
                <w:kern w:val="0"/>
                <w:sz w:val="21"/>
                <w:szCs w:val="21"/>
              </w:rPr>
              <w:t>40项参数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5</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脉波形信息的定量化参数</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MAP%、UT</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6</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搏动变化图：表示各个腕带采取的搏动变化的图，含同期线</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升压上线</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测定精度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最高血压值</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刻度仪</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外框等信息以进一步确定测试精度及规范操作。</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7</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R-R间隔检查</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R-R间隔标准差、R-R间隔平均值、HR平均值、CVRR、对比曲线图，趋势曲线图，</w:t>
            </w:r>
            <w:r>
              <w:rPr>
                <w:rFonts w:hint="eastAsia" w:ascii="宋体" w:hAnsi="宋体" w:eastAsia="宋体" w:cs="宋体"/>
                <w:kern w:val="0"/>
                <w:sz w:val="21"/>
                <w:szCs w:val="21"/>
                <w:lang w:val="en-US" w:eastAsia="zh-CN"/>
              </w:rPr>
              <w:t>以便能够</w:t>
            </w:r>
            <w:r>
              <w:rPr>
                <w:rFonts w:hint="eastAsia" w:ascii="宋体" w:hAnsi="宋体" w:eastAsia="宋体" w:cs="宋体"/>
                <w:kern w:val="0"/>
                <w:sz w:val="21"/>
                <w:szCs w:val="21"/>
              </w:rPr>
              <w:t>判断心血管自主神经功能</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8</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同一心动周期内四肢同步检测</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能够四肢同步测量ABI、baPWV和血压等参数</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rPr>
              <w:t>9</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配备</w:t>
            </w:r>
            <w:r>
              <w:rPr>
                <w:rFonts w:hint="eastAsia" w:ascii="宋体" w:hAnsi="宋体" w:eastAsia="宋体" w:cs="宋体"/>
                <w:kern w:val="0"/>
                <w:sz w:val="21"/>
                <w:szCs w:val="21"/>
              </w:rPr>
              <w:t>下肢双层袖带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下肢袖带需采用高精度双层袖带传感器，以保证ABI检测数据的准确</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10</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除检测动脉硬化外，</w:t>
            </w:r>
            <w:r>
              <w:rPr>
                <w:rFonts w:hint="eastAsia" w:ascii="宋体" w:hAnsi="宋体" w:eastAsia="宋体" w:cs="宋体"/>
                <w:kern w:val="0"/>
                <w:sz w:val="21"/>
                <w:szCs w:val="21"/>
                <w:lang w:val="en-US" w:eastAsia="zh-CN"/>
              </w:rPr>
              <w:t>还</w:t>
            </w:r>
            <w:r>
              <w:rPr>
                <w:rFonts w:hint="eastAsia" w:ascii="宋体" w:hAnsi="宋体" w:eastAsia="宋体" w:cs="宋体"/>
                <w:kern w:val="0"/>
                <w:sz w:val="21"/>
                <w:szCs w:val="21"/>
              </w:rPr>
              <w:t>可自动评估心脑血管危险度，代谢综合征发病风险</w:t>
            </w:r>
            <w:r>
              <w:rPr>
                <w:rFonts w:hint="eastAsia" w:ascii="宋体" w:hAnsi="宋体" w:eastAsia="宋体" w:cs="宋体"/>
                <w:kern w:val="0"/>
                <w:sz w:val="21"/>
                <w:szCs w:val="21"/>
                <w:lang w:val="en-US" w:eastAsia="zh-CN"/>
              </w:rPr>
              <w:t>等。</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11</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滤波技术</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可通过设定多个脉搏波起始条件，将噪音波滤掉，以保证结果准确</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12</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具备</w:t>
            </w:r>
            <w:r>
              <w:rPr>
                <w:rFonts w:hint="eastAsia" w:ascii="宋体" w:hAnsi="宋体" w:eastAsia="宋体" w:cs="宋体"/>
                <w:kern w:val="0"/>
                <w:sz w:val="21"/>
                <w:szCs w:val="21"/>
              </w:rPr>
              <w:t>心脏起搏器模式</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保证植入心脏起搏器的患者也能准确进行该项检测</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13</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具备</w:t>
            </w:r>
            <w:r>
              <w:rPr>
                <w:rFonts w:hint="eastAsia" w:ascii="宋体" w:hAnsi="宋体" w:eastAsia="宋体" w:cs="宋体"/>
                <w:kern w:val="0"/>
                <w:sz w:val="21"/>
                <w:szCs w:val="21"/>
              </w:rPr>
              <w:t>运动负荷试验模式软件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并生成专业报告，以便进一步确诊ABI处于临界状态或间歇性跛行的人群是否存在下肢动脉疾病</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14</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网络连接</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可</w:t>
            </w:r>
            <w:r>
              <w:rPr>
                <w:rFonts w:hint="eastAsia" w:ascii="宋体" w:hAnsi="宋体" w:eastAsia="宋体" w:cs="宋体"/>
                <w:kern w:val="0"/>
                <w:sz w:val="21"/>
                <w:szCs w:val="21"/>
              </w:rPr>
              <w:t>实现联网功能，</w:t>
            </w:r>
            <w:r>
              <w:rPr>
                <w:rFonts w:hint="eastAsia" w:ascii="宋体" w:hAnsi="宋体" w:eastAsia="宋体" w:cs="宋体"/>
                <w:kern w:val="0"/>
                <w:sz w:val="21"/>
                <w:szCs w:val="21"/>
                <w:lang w:val="en-US" w:eastAsia="zh-CN"/>
              </w:rPr>
              <w:t>以便</w:t>
            </w:r>
            <w:r>
              <w:rPr>
                <w:rFonts w:hint="eastAsia" w:ascii="宋体" w:hAnsi="宋体" w:eastAsia="宋体" w:cs="宋体"/>
                <w:kern w:val="0"/>
                <w:sz w:val="21"/>
                <w:szCs w:val="21"/>
              </w:rPr>
              <w:t>检测数据</w:t>
            </w:r>
            <w:r>
              <w:rPr>
                <w:rFonts w:hint="eastAsia" w:ascii="宋体" w:hAnsi="宋体" w:eastAsia="宋体" w:cs="宋体"/>
                <w:kern w:val="0"/>
                <w:sz w:val="21"/>
                <w:szCs w:val="21"/>
                <w:lang w:val="en-US" w:eastAsia="zh-CN"/>
              </w:rPr>
              <w:t>能够在</w:t>
            </w:r>
            <w:r>
              <w:rPr>
                <w:rFonts w:hint="eastAsia" w:ascii="宋体" w:hAnsi="宋体" w:eastAsia="宋体" w:cs="宋体"/>
                <w:kern w:val="0"/>
                <w:sz w:val="21"/>
                <w:szCs w:val="21"/>
              </w:rPr>
              <w:t>多科室</w:t>
            </w:r>
            <w:r>
              <w:rPr>
                <w:rFonts w:hint="eastAsia" w:ascii="宋体" w:hAnsi="宋体" w:eastAsia="宋体" w:cs="宋体"/>
                <w:kern w:val="0"/>
                <w:sz w:val="21"/>
                <w:szCs w:val="21"/>
                <w:lang w:val="en-US" w:eastAsia="zh-CN"/>
              </w:rPr>
              <w:t>间</w:t>
            </w:r>
            <w:r>
              <w:rPr>
                <w:rFonts w:hint="eastAsia" w:ascii="宋体" w:hAnsi="宋体" w:eastAsia="宋体" w:cs="宋体"/>
                <w:kern w:val="0"/>
                <w:sz w:val="21"/>
                <w:szCs w:val="21"/>
              </w:rPr>
              <w:t>网络化共享</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15</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数据检索</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可通过输入简单的ID信息实现数据检索</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rPr>
              <w:t>16</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报告格式</w:t>
            </w:r>
            <w:r>
              <w:rPr>
                <w:rFonts w:hint="eastAsia" w:ascii="宋体" w:hAnsi="宋体" w:eastAsia="宋体" w:cs="宋体"/>
                <w:kern w:val="0"/>
                <w:sz w:val="21"/>
                <w:szCs w:val="21"/>
                <w:lang w:val="en-US" w:eastAsia="zh-CN"/>
              </w:rPr>
              <w:t>要求：</w:t>
            </w:r>
            <w:r>
              <w:rPr>
                <w:rFonts w:hint="eastAsia" w:ascii="宋体" w:hAnsi="宋体" w:eastAsia="宋体" w:cs="宋体"/>
                <w:kern w:val="0"/>
                <w:sz w:val="21"/>
                <w:szCs w:val="21"/>
              </w:rPr>
              <w:t>可根据具体情况随时选择适合医生/病人的多种报告格式</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图形及画面显示</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可显示心电图和心音图及四肢脉搏波波形图</w:t>
            </w:r>
            <w:r>
              <w:rPr>
                <w:rFonts w:hint="eastAsia" w:ascii="宋体" w:hAnsi="宋体" w:eastAsia="宋体" w:cs="宋体"/>
                <w:kern w:val="0"/>
                <w:sz w:val="21"/>
                <w:szCs w:val="21"/>
                <w:lang w:eastAsia="zh-CN"/>
              </w:rPr>
              <w:t>；</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可显示不同年龄、性别的PWV标准曲线</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                           </w:t>
            </w:r>
          </w:p>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3）配置不小于</w:t>
            </w:r>
            <w:r>
              <w:rPr>
                <w:rFonts w:hint="eastAsia" w:ascii="宋体" w:hAnsi="宋体" w:eastAsia="宋体" w:cs="宋体"/>
                <w:kern w:val="0"/>
                <w:sz w:val="21"/>
                <w:szCs w:val="21"/>
              </w:rPr>
              <w:t>8英寸中文彩色触摸液晶显示屏</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可与“国家标准化代谢性疾病管理中心”（MMC）实现数据传输。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配置1台智能血压计，能够与“国家标准化代谢性疾病管理中心”（MMC）实现数据传输。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100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682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1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注：1.“参数性质”标“*”表示此参数为主要技术参数；</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2.“参数性质”标“</w:t>
            </w:r>
            <w:r>
              <w:rPr>
                <w:rFonts w:hint="eastAsia" w:ascii="宋体" w:hAnsi="宋体" w:eastAsia="宋体" w:cs="宋体"/>
                <w:sz w:val="21"/>
                <w:szCs w:val="21"/>
                <w:lang w:bidi="lo-LA"/>
              </w:rPr>
              <w:t>▲</w:t>
            </w:r>
            <w:r>
              <w:rPr>
                <w:rFonts w:hint="eastAsia" w:ascii="宋体" w:hAnsi="宋体" w:eastAsia="宋体" w:cs="宋体"/>
                <w:kern w:val="0"/>
                <w:sz w:val="21"/>
                <w:szCs w:val="21"/>
              </w:rPr>
              <w:t>”表示此参数为重要技术参数。</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3</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便携式肌电图诱发电位仪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18" w:type="dxa"/>
        <w:tblInd w:w="0" w:type="dxa"/>
        <w:tblLayout w:type="fixed"/>
        <w:tblCellMar>
          <w:top w:w="0" w:type="dxa"/>
          <w:left w:w="108" w:type="dxa"/>
          <w:bottom w:w="0" w:type="dxa"/>
          <w:right w:w="108" w:type="dxa"/>
        </w:tblCellMar>
      </w:tblPr>
      <w:tblGrid>
        <w:gridCol w:w="692"/>
        <w:gridCol w:w="750"/>
        <w:gridCol w:w="7076"/>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适用范围：</w:t>
            </w:r>
            <w:r>
              <w:rPr>
                <w:rFonts w:hint="eastAsia" w:ascii="宋体" w:hAnsi="宋体" w:eastAsia="宋体" w:cs="宋体"/>
                <w:kern w:val="0"/>
                <w:sz w:val="21"/>
                <w:szCs w:val="21"/>
                <w:lang w:val="en-US" w:eastAsia="zh-CN"/>
              </w:rPr>
              <w:t>可</w:t>
            </w:r>
            <w:r>
              <w:rPr>
                <w:rFonts w:hint="eastAsia" w:ascii="宋体" w:hAnsi="宋体" w:eastAsia="宋体" w:cs="宋体"/>
                <w:kern w:val="0"/>
                <w:sz w:val="21"/>
                <w:szCs w:val="21"/>
              </w:rPr>
              <w:t>作肌电图、神经电图和体感诱发电位检查。</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设备</w:t>
            </w:r>
            <w:r>
              <w:rPr>
                <w:rFonts w:hint="eastAsia" w:ascii="宋体" w:hAnsi="宋体" w:eastAsia="宋体" w:cs="宋体"/>
                <w:kern w:val="0"/>
                <w:sz w:val="21"/>
                <w:szCs w:val="21"/>
              </w:rPr>
              <w:t>硬件</w:t>
            </w:r>
            <w:r>
              <w:rPr>
                <w:rFonts w:hint="eastAsia" w:ascii="宋体" w:hAnsi="宋体" w:eastAsia="宋体" w:cs="宋体"/>
                <w:kern w:val="0"/>
                <w:sz w:val="21"/>
                <w:szCs w:val="21"/>
                <w:lang w:val="en-US" w:eastAsia="zh-CN"/>
              </w:rPr>
              <w:t>和</w:t>
            </w:r>
            <w:r>
              <w:rPr>
                <w:rFonts w:hint="eastAsia" w:ascii="宋体" w:hAnsi="宋体" w:eastAsia="宋体" w:cs="宋体"/>
                <w:kern w:val="0"/>
                <w:sz w:val="21"/>
                <w:szCs w:val="21"/>
              </w:rPr>
              <w:t>软件功能模块均</w:t>
            </w:r>
            <w:r>
              <w:rPr>
                <w:rFonts w:hint="eastAsia" w:ascii="宋体" w:hAnsi="宋体" w:eastAsia="宋体" w:cs="宋体"/>
                <w:kern w:val="0"/>
                <w:sz w:val="21"/>
                <w:szCs w:val="21"/>
                <w:lang w:val="en-US" w:eastAsia="zh-CN"/>
              </w:rPr>
              <w:t>可</w:t>
            </w:r>
            <w:r>
              <w:rPr>
                <w:rFonts w:hint="eastAsia" w:ascii="宋体" w:hAnsi="宋体" w:eastAsia="宋体" w:cs="宋体"/>
                <w:kern w:val="0"/>
                <w:sz w:val="21"/>
                <w:szCs w:val="21"/>
              </w:rPr>
              <w:t>根据使用需要设定</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并可设定快捷，功能项目</w:t>
            </w:r>
            <w:r>
              <w:rPr>
                <w:rFonts w:hint="eastAsia" w:ascii="宋体" w:hAnsi="宋体" w:eastAsia="宋体" w:cs="宋体"/>
                <w:kern w:val="0"/>
                <w:sz w:val="21"/>
                <w:szCs w:val="21"/>
                <w:lang w:val="en-US" w:eastAsia="zh-CN"/>
              </w:rPr>
              <w:t>可</w:t>
            </w:r>
            <w:r>
              <w:rPr>
                <w:rFonts w:hint="eastAsia" w:ascii="宋体" w:hAnsi="宋体" w:eastAsia="宋体" w:cs="宋体"/>
                <w:kern w:val="0"/>
                <w:sz w:val="21"/>
                <w:szCs w:val="21"/>
              </w:rPr>
              <w:t>直接切换。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3</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常规功能模块：</w:t>
            </w:r>
            <w:r>
              <w:rPr>
                <w:rFonts w:hint="eastAsia" w:ascii="宋体" w:hAnsi="宋体" w:eastAsia="宋体" w:cs="宋体"/>
                <w:kern w:val="0"/>
                <w:sz w:val="21"/>
                <w:szCs w:val="21"/>
                <w:lang w:val="en-US" w:eastAsia="zh-CN"/>
              </w:rPr>
              <w:t>支持</w:t>
            </w:r>
            <w:r>
              <w:rPr>
                <w:rFonts w:hint="eastAsia" w:ascii="宋体" w:hAnsi="宋体" w:eastAsia="宋体" w:cs="宋体"/>
                <w:kern w:val="0"/>
                <w:sz w:val="21"/>
                <w:szCs w:val="21"/>
              </w:rPr>
              <w:t>运动传导、感觉传导、皮肤反应、F反应</w:t>
            </w:r>
            <w:r>
              <w:rPr>
                <w:rFonts w:hint="eastAsia" w:ascii="宋体" w:hAnsi="宋体" w:eastAsia="宋体" w:cs="宋体"/>
                <w:kern w:val="0"/>
                <w:sz w:val="21"/>
                <w:szCs w:val="21"/>
                <w:lang w:val="en-US" w:eastAsia="zh-CN"/>
              </w:rPr>
              <w:t>等。</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4</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增强功能模块：</w:t>
            </w:r>
          </w:p>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心脏交感反应：查看糖尿病患者心率变异反应</w:t>
            </w:r>
            <w:r>
              <w:rPr>
                <w:rFonts w:hint="eastAsia" w:ascii="宋体" w:hAnsi="宋体" w:eastAsia="宋体" w:cs="宋体"/>
                <w:kern w:val="0"/>
                <w:sz w:val="21"/>
                <w:szCs w:val="21"/>
                <w:lang w:eastAsia="zh-CN"/>
              </w:rPr>
              <w:t>；</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表面肌电图：分析肌肉释放电位功率，排除肌源性疾病原因神经传导变慢。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5</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诊断报告可方便医生对病人的原始数据进行精确分析；</w:t>
            </w:r>
            <w:r>
              <w:rPr>
                <w:rFonts w:hint="eastAsia" w:ascii="宋体" w:hAnsi="宋体" w:eastAsia="宋体" w:cs="宋体"/>
                <w:kern w:val="0"/>
                <w:sz w:val="21"/>
                <w:szCs w:val="21"/>
                <w:lang w:val="en-US" w:eastAsia="zh-CN"/>
              </w:rPr>
              <w:t>具备</w:t>
            </w:r>
            <w:r>
              <w:rPr>
                <w:rFonts w:hint="eastAsia" w:ascii="宋体" w:hAnsi="宋体" w:eastAsia="宋体" w:cs="宋体"/>
                <w:kern w:val="0"/>
                <w:sz w:val="21"/>
                <w:szCs w:val="21"/>
              </w:rPr>
              <w:t>一键恢复功能，能够有效的还原原始资料，防止数据丢失</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在操作过程中具有图形和文字指导，</w:t>
            </w:r>
            <w:r>
              <w:rPr>
                <w:rFonts w:hint="eastAsia" w:ascii="宋体" w:hAnsi="宋体" w:eastAsia="宋体" w:cs="宋体"/>
                <w:kern w:val="0"/>
                <w:sz w:val="21"/>
                <w:szCs w:val="21"/>
                <w:lang w:val="en-US" w:eastAsia="zh-CN"/>
              </w:rPr>
              <w:t>以便</w:t>
            </w:r>
            <w:r>
              <w:rPr>
                <w:rFonts w:hint="eastAsia" w:ascii="宋体" w:hAnsi="宋体" w:eastAsia="宋体" w:cs="宋体"/>
                <w:kern w:val="0"/>
                <w:sz w:val="21"/>
                <w:szCs w:val="21"/>
              </w:rPr>
              <w:t>初学者快速掌握诊查流程。</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6</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刺激方式：电刺激器</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要求所有数据误差不得大于±2%。</w:t>
            </w:r>
          </w:p>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电流刺激强度</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最大脉冲强度≥100mA</w:t>
            </w:r>
            <w:r>
              <w:rPr>
                <w:rFonts w:hint="eastAsia" w:ascii="宋体" w:hAnsi="宋体" w:eastAsia="宋体" w:cs="宋体"/>
                <w:kern w:val="0"/>
                <w:sz w:val="21"/>
                <w:szCs w:val="21"/>
                <w:lang w:eastAsia="zh-CN"/>
              </w:rPr>
              <w:t>；</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刺激波宽范围：≥40µs～1ms；</w:t>
            </w:r>
          </w:p>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3</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刺激频率范围：≥0.1～70Hz</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7</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噪声：≤0.8µV rms（0.1Hz～10KHz）</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8</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共模输入阻抗：≥2000</w:t>
            </w:r>
            <w:r>
              <w:rPr>
                <w:rFonts w:hint="eastAsia" w:ascii="宋体" w:hAnsi="宋体" w:eastAsia="宋体" w:cs="宋体"/>
                <w:kern w:val="0"/>
                <w:sz w:val="21"/>
                <w:szCs w:val="21"/>
                <w:lang w:val="zh-CN"/>
              </w:rPr>
              <w:t>MΩ。</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9</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共模抑制比：≥110 dB</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1</w:t>
            </w:r>
            <w:r>
              <w:rPr>
                <w:rFonts w:hint="eastAsia" w:ascii="宋体" w:hAnsi="宋体" w:eastAsia="宋体" w:cs="宋体"/>
                <w:kern w:val="0"/>
                <w:sz w:val="21"/>
                <w:szCs w:val="21"/>
                <w:lang w:val="en-US" w:eastAsia="zh-CN" w:bidi="lo-LA"/>
              </w:rPr>
              <w:t>0</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灵敏度： 0.05</w:t>
            </w:r>
            <w:r>
              <w:rPr>
                <w:rFonts w:hint="eastAsia" w:ascii="宋体" w:hAnsi="宋体" w:eastAsia="宋体" w:cs="宋体"/>
                <w:kern w:val="0"/>
                <w:sz w:val="21"/>
                <w:szCs w:val="21"/>
                <w:lang w:val="zh-CN"/>
              </w:rPr>
              <w:t>µV-10mV</w:t>
            </w:r>
            <w:r>
              <w:rPr>
                <w:rFonts w:hint="eastAsia" w:ascii="宋体" w:hAnsi="宋体" w:eastAsia="宋体" w:cs="宋体"/>
                <w:kern w:val="0"/>
                <w:sz w:val="21"/>
                <w:szCs w:val="21"/>
              </w:rPr>
              <w:t>（误差不得超±5%）</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频率范围：0.5Hz～10KHz，波幅衰减要求不得超出±1db.（误差不得超±5%）</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1</w:t>
            </w:r>
            <w:r>
              <w:rPr>
                <w:rFonts w:hint="eastAsia" w:ascii="宋体" w:hAnsi="宋体" w:eastAsia="宋体" w:cs="宋体"/>
                <w:kern w:val="0"/>
                <w:sz w:val="21"/>
                <w:szCs w:val="21"/>
                <w:lang w:val="en-US" w:eastAsia="zh-CN" w:bidi="lo-LA"/>
              </w:rPr>
              <w:t>2</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增益范围大：放大倍数100～100万倍（误差不得超±5%）</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可与“国家标准化代谢性疾病管理中心”（MMC）实现数据传输。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配置1台身高体重仪，能够与“国家标准化代谢性疾病管理中心”（MMC）实现数据传输。</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76"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1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注：1.“参数性质”标“*”表示此参数为主要技术参数；</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2.“参数性质”标“</w:t>
            </w:r>
            <w:r>
              <w:rPr>
                <w:rFonts w:hint="eastAsia" w:ascii="宋体" w:hAnsi="宋体" w:eastAsia="宋体" w:cs="宋体"/>
                <w:sz w:val="21"/>
                <w:szCs w:val="21"/>
                <w:lang w:bidi="lo-LA"/>
              </w:rPr>
              <w:t>▲</w:t>
            </w:r>
            <w:r>
              <w:rPr>
                <w:rFonts w:hint="eastAsia" w:ascii="宋体" w:hAnsi="宋体" w:eastAsia="宋体" w:cs="宋体"/>
                <w:kern w:val="0"/>
                <w:sz w:val="21"/>
                <w:szCs w:val="21"/>
              </w:rPr>
              <w:t>”表示此参数为重要技术参数。</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ilvl w:val="0"/>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2B63CF7"/>
    <w:rsid w:val="05076A5B"/>
    <w:rsid w:val="06B07F83"/>
    <w:rsid w:val="0DA07F51"/>
    <w:rsid w:val="11AB1717"/>
    <w:rsid w:val="11EF4694"/>
    <w:rsid w:val="19BD2CB7"/>
    <w:rsid w:val="1A620718"/>
    <w:rsid w:val="1BCE5CC0"/>
    <w:rsid w:val="224C6733"/>
    <w:rsid w:val="23507ADC"/>
    <w:rsid w:val="25757733"/>
    <w:rsid w:val="25924F73"/>
    <w:rsid w:val="267A5F90"/>
    <w:rsid w:val="29385740"/>
    <w:rsid w:val="293A1937"/>
    <w:rsid w:val="2B8A6B32"/>
    <w:rsid w:val="2D1D3BDB"/>
    <w:rsid w:val="2DFB03C5"/>
    <w:rsid w:val="2FC378C6"/>
    <w:rsid w:val="30D15875"/>
    <w:rsid w:val="3281623F"/>
    <w:rsid w:val="32944704"/>
    <w:rsid w:val="37FC75FC"/>
    <w:rsid w:val="393C0F46"/>
    <w:rsid w:val="3D562D87"/>
    <w:rsid w:val="3E650D1D"/>
    <w:rsid w:val="3E9002A8"/>
    <w:rsid w:val="40620B93"/>
    <w:rsid w:val="44AA028A"/>
    <w:rsid w:val="45E7426C"/>
    <w:rsid w:val="47C04769"/>
    <w:rsid w:val="489F057B"/>
    <w:rsid w:val="4AED3729"/>
    <w:rsid w:val="557D67C8"/>
    <w:rsid w:val="5DFF20EB"/>
    <w:rsid w:val="5ED418C8"/>
    <w:rsid w:val="62E24E32"/>
    <w:rsid w:val="64E47B74"/>
    <w:rsid w:val="661108EC"/>
    <w:rsid w:val="669049D8"/>
    <w:rsid w:val="67BC2F53"/>
    <w:rsid w:val="67D14995"/>
    <w:rsid w:val="6D4F63E7"/>
    <w:rsid w:val="6F5104C0"/>
    <w:rsid w:val="719B7B32"/>
    <w:rsid w:val="7BB21433"/>
    <w:rsid w:val="7F112C06"/>
    <w:rsid w:val="7F215BB4"/>
    <w:rsid w:val="7F5512D4"/>
    <w:rsid w:val="7F555B8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9963</Words>
  <Characters>11191</Characters>
  <Lines>0</Lines>
  <Paragraphs>0</Paragraphs>
  <TotalTime>1</TotalTime>
  <ScaleCrop>false</ScaleCrop>
  <LinksUpToDate>false</LinksUpToDate>
  <CharactersWithSpaces>11477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2022-09-19T01:36:26Z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E5DB60906ABE4436B015B7727A788BB4</vt:lpwstr>
  </property>
  <property fmtid="{D5CDD505-2E9C-101B-9397-08002B2CF9AE}" pid="4" name="commondata">
    <vt:lpwstr>eyJoZGlkIjoiM2I5YmQyM2VlMzIyNzg3MTM0MjMzMjczYWU0N2U3MTcifQ==</vt:lpwstr>
  </property>
</Properties>
</file>