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952625" cy="1609090"/>
            <wp:effectExtent l="0" t="0" r="9525" b="10160"/>
            <wp:docPr id="1" name="图片 1"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1fb2cdee7713eddb2d7f6ff2c04f4"/>
                    <pic:cNvPicPr>
                      <a:picLocks noChangeAspect="1"/>
                    </pic:cNvPicPr>
                  </pic:nvPicPr>
                  <pic:blipFill>
                    <a:blip r:embed="rId4"/>
                    <a:stretch>
                      <a:fillRect/>
                    </a:stretch>
                  </pic:blipFill>
                  <pic:spPr>
                    <a:xfrm>
                      <a:off x="0" y="0"/>
                      <a:ext cx="1952625" cy="1609090"/>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机房云桌面系统项目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2022年11月18日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1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机房云桌面系统</w:t>
            </w:r>
          </w:p>
        </w:tc>
        <w:tc>
          <w:tcPr>
            <w:tcW w:w="90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398000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398000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甲方在安装调试验收合格正常使用后，支付总货款的90%，使用半年后支付剩余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4"/>
        </w:numPr>
        <w:spacing w:line="360" w:lineRule="auto"/>
        <w:jc w:val="left"/>
        <w:rPr>
          <w:rFonts w:hint="eastAsia" w:hAnsi="宋体"/>
          <w:sz w:val="24"/>
          <w:szCs w:val="24"/>
        </w:rPr>
      </w:pPr>
      <w:r>
        <w:rPr>
          <w:rFonts w:hint="eastAsia" w:hAnsi="宋体"/>
          <w:sz w:val="24"/>
          <w:szCs w:val="24"/>
        </w:rPr>
        <w:t>技术标准与要求：</w:t>
      </w:r>
    </w:p>
    <w:tbl>
      <w:tblPr>
        <w:tblStyle w:val="18"/>
        <w:tblpPr w:leftFromText="180" w:rightFromText="180" w:vertAnchor="text" w:horzAnchor="page" w:tblpX="1680" w:tblpY="12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rPr>
                <w:color w:val="000000" w:themeColor="text1"/>
                <w14:textFill>
                  <w14:solidFill>
                    <w14:schemeClr w14:val="tx1"/>
                  </w14:solidFill>
                </w14:textFill>
              </w:rPr>
            </w:pPr>
            <w:bookmarkStart w:id="0" w:name="_Toc130115382"/>
            <w:r>
              <w:rPr>
                <w:rFonts w:hint="eastAsia"/>
                <w:color w:val="000000" w:themeColor="text1"/>
                <w14:textFill>
                  <w14:solidFill>
                    <w14:schemeClr w14:val="tx1"/>
                  </w14:solidFill>
                </w14:textFill>
              </w:rPr>
              <w:t>技术参数</w:t>
            </w:r>
          </w:p>
        </w:tc>
        <w:tc>
          <w:tcPr>
            <w:tcW w:w="637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restart"/>
            <w:vAlign w:val="center"/>
          </w:tcPr>
          <w:p>
            <w:pPr>
              <w:pStyle w:val="4"/>
              <w:ind w:firstLine="0" w:firstLineChars="0"/>
              <w:rPr>
                <w:rFonts w:hint="eastAsia"/>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数量要求</w:t>
            </w:r>
          </w:p>
        </w:tc>
        <w:tc>
          <w:tcPr>
            <w:tcW w:w="6372" w:type="dxa"/>
            <w:vAlign w:val="center"/>
          </w:tcPr>
          <w:p>
            <w:pPr>
              <w:pStyle w:val="4"/>
              <w:ind w:firstLine="0" w:firstLineChars="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★桌面云一体机服务器数量≥3台，本项目要求服务器与终端、桌面云软件同一品牌，桌面云服务器出厂时必须预装各类桌面云软件（含服务器虚拟化、存储虚拟化等），不允许提供祼机设备。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vAlign w:val="center"/>
          </w:tcPr>
          <w:p>
            <w:pPr>
              <w:pStyle w:val="4"/>
              <w:ind w:firstLine="0" w:firstLineChars="0"/>
              <w:rPr>
                <w:rFonts w:hint="eastAsia"/>
                <w:color w:val="000000" w:themeColor="text1"/>
                <w14:textFill>
                  <w14:solidFill>
                    <w14:schemeClr w14:val="tx1"/>
                  </w14:solidFill>
                </w14:textFill>
              </w:rPr>
            </w:pPr>
          </w:p>
        </w:tc>
        <w:tc>
          <w:tcPr>
            <w:tcW w:w="6372" w:type="dxa"/>
            <w:vAlign w:val="center"/>
          </w:tcPr>
          <w:p>
            <w:pPr>
              <w:pStyle w:val="4"/>
              <w:ind w:firstLine="0" w:firstLineChars="0"/>
              <w:rPr>
                <w:rFonts w:hint="eastAsia"/>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★要求服务器必须配备存储虚拟化软件模块，并不限制存储容量，提供低成本、高可靠的存储方案。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pStyle w:val="4"/>
              <w:ind w:firstLine="0" w:firstLineChars="0"/>
              <w:rPr>
                <w:rFonts w:hint="eastAsia"/>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硬件规格</w:t>
            </w:r>
          </w:p>
        </w:tc>
        <w:tc>
          <w:tcPr>
            <w:tcW w:w="6372" w:type="dxa"/>
            <w:vAlign w:val="center"/>
          </w:tcPr>
          <w:p>
            <w:pPr>
              <w:pStyle w:val="4"/>
              <w:ind w:firstLine="0" w:firstLineChars="0"/>
              <w:rPr>
                <w:rFonts w:hint="eastAsia"/>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★为了保障桌面资源满足使用需求，</w:t>
            </w:r>
            <w:r>
              <w:rPr>
                <w:rFonts w:hint="eastAsia"/>
                <w:color w:val="000000" w:themeColor="text1"/>
                <w:lang w:val="en-US" w:eastAsia="zh-CN"/>
                <w14:textFill>
                  <w14:solidFill>
                    <w14:schemeClr w14:val="tx1"/>
                  </w14:solidFill>
                </w14:textFill>
              </w:rPr>
              <w:t>单台</w:t>
            </w:r>
            <w:r>
              <w:rPr>
                <w:rFonts w:hint="default"/>
                <w:color w:val="000000" w:themeColor="text1"/>
                <w:lang w:val="en-US" w:eastAsia="zh-CN"/>
                <w14:textFill>
                  <w14:solidFill>
                    <w14:schemeClr w14:val="tx1"/>
                  </w14:solidFill>
                </w14:textFill>
              </w:rPr>
              <w:t>桌面云一体机</w:t>
            </w:r>
            <w:r>
              <w:rPr>
                <w:rFonts w:hint="eastAsia"/>
                <w:color w:val="000000" w:themeColor="text1"/>
                <w:lang w:val="en-US" w:eastAsia="zh-CN"/>
                <w14:textFill>
                  <w14:solidFill>
                    <w14:schemeClr w14:val="tx1"/>
                  </w14:solidFill>
                </w14:textFill>
              </w:rPr>
              <w:t>服务器</w:t>
            </w:r>
            <w:r>
              <w:rPr>
                <w:rFonts w:hint="default"/>
                <w:color w:val="000000" w:themeColor="text1"/>
                <w:lang w:val="en-US" w:eastAsia="zh-CN"/>
                <w14:textFill>
                  <w14:solidFill>
                    <w14:schemeClr w14:val="tx1"/>
                  </w14:solidFill>
                </w14:textFill>
              </w:rPr>
              <w:t>配置要求为：CPU</w:t>
            </w:r>
            <w:r>
              <w:rPr>
                <w:rFonts w:hint="eastAsia"/>
                <w:color w:val="000000" w:themeColor="text1"/>
                <w:lang w:val="en-US" w:eastAsia="zh-CN"/>
                <w14:textFill>
                  <w14:solidFill>
                    <w14:schemeClr w14:val="tx1"/>
                  </w14:solidFill>
                </w14:textFill>
              </w:rPr>
              <w:t>颗</w:t>
            </w:r>
            <w:r>
              <w:rPr>
                <w:rFonts w:hint="default"/>
                <w:color w:val="000000" w:themeColor="text1"/>
                <w:lang w:val="en-US" w:eastAsia="zh-CN"/>
                <w14:textFill>
                  <w14:solidFill>
                    <w14:schemeClr w14:val="tx1"/>
                  </w14:solidFill>
                </w14:textFill>
              </w:rPr>
              <w:t>数≥</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CPU核数≥</w:t>
            </w:r>
            <w:r>
              <w:rPr>
                <w:rFonts w:hint="eastAsia"/>
                <w:color w:val="000000" w:themeColor="text1"/>
                <w:lang w:val="en-US" w:eastAsia="zh-CN"/>
                <w14:textFill>
                  <w14:solidFill>
                    <w14:schemeClr w14:val="tx1"/>
                  </w14:solidFill>
                </w14:textFill>
              </w:rPr>
              <w:t>16</w:t>
            </w:r>
            <w:r>
              <w:rPr>
                <w:rFonts w:hint="default"/>
                <w:color w:val="000000" w:themeColor="text1"/>
                <w:lang w:val="en-US" w:eastAsia="zh-CN"/>
                <w14:textFill>
                  <w14:solidFill>
                    <w14:schemeClr w14:val="tx1"/>
                  </w14:solidFill>
                </w14:textFill>
              </w:rPr>
              <w:t>（主频不低于</w:t>
            </w:r>
            <w:r>
              <w:rPr>
                <w:rFonts w:hint="eastAsia"/>
                <w:color w:val="000000" w:themeColor="text1"/>
                <w:lang w:val="en-US" w:eastAsia="zh-CN"/>
                <w14:textFill>
                  <w14:solidFill>
                    <w14:schemeClr w14:val="tx1"/>
                  </w14:solidFill>
                </w14:textFill>
              </w:rPr>
              <w:t>2.9</w:t>
            </w:r>
            <w:r>
              <w:rPr>
                <w:rFonts w:hint="default"/>
                <w:color w:val="000000" w:themeColor="text1"/>
                <w:lang w:val="en-US" w:eastAsia="zh-CN"/>
                <w14:textFill>
                  <w14:solidFill>
                    <w14:schemeClr w14:val="tx1"/>
                  </w14:solidFill>
                </w14:textFill>
              </w:rPr>
              <w:t>Ghz）、内存≥</w:t>
            </w:r>
            <w:r>
              <w:rPr>
                <w:rFonts w:hint="eastAsia"/>
                <w:color w:val="000000" w:themeColor="text1"/>
                <w:lang w:val="en-US" w:eastAsia="zh-CN"/>
                <w14:textFill>
                  <w14:solidFill>
                    <w14:schemeClr w14:val="tx1"/>
                  </w14:solidFill>
                </w14:textFill>
              </w:rPr>
              <w:t>256</w:t>
            </w:r>
            <w:r>
              <w:rPr>
                <w:rFonts w:hint="default"/>
                <w:color w:val="000000" w:themeColor="text1"/>
                <w:lang w:val="en-US" w:eastAsia="zh-CN"/>
                <w14:textFill>
                  <w14:solidFill>
                    <w14:schemeClr w14:val="tx1"/>
                  </w14:solidFill>
                </w14:textFill>
              </w:rPr>
              <w:t>G、千兆</w:t>
            </w:r>
            <w:r>
              <w:rPr>
                <w:rFonts w:hint="eastAsia"/>
                <w:color w:val="000000" w:themeColor="text1"/>
                <w:lang w:val="en-US" w:eastAsia="zh-CN"/>
                <w14:textFill>
                  <w14:solidFill>
                    <w14:schemeClr w14:val="tx1"/>
                  </w14:solidFill>
                </w14:textFill>
              </w:rPr>
              <w:t>电</w:t>
            </w:r>
            <w:r>
              <w:rPr>
                <w:rFonts w:hint="default"/>
                <w:color w:val="000000" w:themeColor="text1"/>
                <w:lang w:val="en-US" w:eastAsia="zh-CN"/>
                <w14:textFill>
                  <w14:solidFill>
                    <w14:schemeClr w14:val="tx1"/>
                  </w14:solidFill>
                </w14:textFill>
              </w:rPr>
              <w:t>口≥</w:t>
            </w:r>
            <w:r>
              <w:rPr>
                <w:rFonts w:hint="eastAsia"/>
                <w:color w:val="000000" w:themeColor="text1"/>
                <w:lang w:val="en-US" w:eastAsia="zh-CN"/>
                <w14:textFill>
                  <w14:solidFill>
                    <w14:schemeClr w14:val="tx1"/>
                  </w14:solidFill>
                </w14:textFill>
              </w:rPr>
              <w:t>6</w:t>
            </w:r>
            <w:r>
              <w:rPr>
                <w:rFonts w:hint="default"/>
                <w:color w:val="000000" w:themeColor="text1"/>
                <w:lang w:val="en-US" w:eastAsia="zh-CN"/>
                <w14:textFill>
                  <w14:solidFill>
                    <w14:schemeClr w14:val="tx1"/>
                  </w14:solidFill>
                </w14:textFill>
              </w:rPr>
              <w:t>个、</w:t>
            </w:r>
            <w:r>
              <w:rPr>
                <w:rFonts w:hint="eastAsia"/>
                <w:color w:val="000000" w:themeColor="text1"/>
                <w:lang w:val="en-US" w:eastAsia="zh-CN"/>
                <w14:textFill>
                  <w14:solidFill>
                    <w14:schemeClr w14:val="tx1"/>
                  </w14:solidFill>
                </w14:textFill>
              </w:rPr>
              <w:t>万兆光口</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2个，</w:t>
            </w:r>
            <w:r>
              <w:rPr>
                <w:rFonts w:hint="default"/>
                <w:color w:val="000000" w:themeColor="text1"/>
                <w:lang w:val="en-US" w:eastAsia="zh-CN"/>
                <w14:textFill>
                  <w14:solidFill>
                    <w14:schemeClr w14:val="tx1"/>
                  </w14:solidFill>
                </w14:textFill>
              </w:rPr>
              <w:t>冗余电源。系统盘≥2块</w:t>
            </w:r>
            <w:r>
              <w:rPr>
                <w:rFonts w:hint="eastAsia"/>
                <w:color w:val="000000" w:themeColor="text1"/>
                <w:lang w:val="en-US" w:eastAsia="zh-CN"/>
                <w14:textFill>
                  <w14:solidFill>
                    <w14:schemeClr w14:val="tx1"/>
                  </w14:solidFill>
                </w14:textFill>
              </w:rPr>
              <w:t>240</w:t>
            </w:r>
            <w:r>
              <w:rPr>
                <w:rFonts w:hint="default"/>
                <w:color w:val="000000" w:themeColor="text1"/>
                <w:lang w:val="en-US" w:eastAsia="zh-CN"/>
                <w14:textFill>
                  <w14:solidFill>
                    <w14:schemeClr w14:val="tx1"/>
                  </w14:solidFill>
                </w14:textFill>
              </w:rPr>
              <w:t>G SSD硬盘、缓存盘≥</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块</w:t>
            </w:r>
            <w:r>
              <w:rPr>
                <w:rFonts w:hint="eastAsia"/>
                <w:color w:val="000000" w:themeColor="text1"/>
                <w:lang w:val="en-US" w:eastAsia="zh-CN"/>
                <w14:textFill>
                  <w14:solidFill>
                    <w14:schemeClr w14:val="tx1"/>
                  </w14:solidFill>
                </w14:textFill>
              </w:rPr>
              <w:t>480</w:t>
            </w:r>
            <w:r>
              <w:rPr>
                <w:rFonts w:hint="default"/>
                <w:color w:val="000000" w:themeColor="text1"/>
                <w:lang w:val="en-US" w:eastAsia="zh-CN"/>
                <w14:textFill>
                  <w14:solidFill>
                    <w14:schemeClr w14:val="tx1"/>
                  </w14:solidFill>
                </w14:textFill>
              </w:rPr>
              <w:t>G SSD硬盘，数据盘不少于</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块</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T的SATA硬盘。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restart"/>
            <w:vAlign w:val="center"/>
          </w:tcPr>
          <w:p>
            <w:pPr>
              <w:pStyle w:val="4"/>
              <w:ind w:firstLine="0" w:firstLineChars="0"/>
              <w:rPr>
                <w:rFonts w:hint="eastAsia"/>
                <w:color w:val="000000" w:themeColor="text1"/>
                <w:lang w:val="en-US" w:eastAsia="zh-Hans"/>
                <w14:textFill>
                  <w14:solidFill>
                    <w14:schemeClr w14:val="tx1"/>
                  </w14:solidFill>
                </w14:textFill>
              </w:rPr>
            </w:pPr>
            <w:r>
              <w:rPr>
                <w:rFonts w:hint="eastAsia"/>
                <w:color w:val="000000" w:themeColor="text1"/>
                <w:lang w:val="en-US" w:eastAsia="zh-Hans"/>
                <w14:textFill>
                  <w14:solidFill>
                    <w14:schemeClr w14:val="tx1"/>
                  </w14:solidFill>
                </w14:textFill>
              </w:rPr>
              <w:t>虚拟化功能要求</w:t>
            </w:r>
          </w:p>
        </w:tc>
        <w:tc>
          <w:tcPr>
            <w:tcW w:w="6372" w:type="dxa"/>
            <w:vAlign w:val="center"/>
          </w:tcPr>
          <w:p>
            <w:pPr>
              <w:pStyle w:val="4"/>
              <w:ind w:firstLine="0" w:firstLineChars="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支持SSD缓存加速，采用SSD+HDD混合模式，SSD用于缓存热点数据，HDD用于存储个人数据，SSD缓存命中率不低于60%，确保最优用户体验。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vAlign w:val="center"/>
          </w:tcPr>
          <w:p>
            <w:pPr>
              <w:pStyle w:val="4"/>
              <w:ind w:firstLine="0" w:firstLineChars="0"/>
              <w:rPr>
                <w:rFonts w:hint="eastAsia"/>
                <w:color w:val="000000" w:themeColor="text1"/>
                <w14:textFill>
                  <w14:solidFill>
                    <w14:schemeClr w14:val="tx1"/>
                  </w14:solidFill>
                </w14:textFill>
              </w:rPr>
            </w:pPr>
          </w:p>
        </w:tc>
        <w:tc>
          <w:tcPr>
            <w:tcW w:w="6372" w:type="dxa"/>
            <w:vAlign w:val="center"/>
          </w:tcPr>
          <w:p>
            <w:pPr>
              <w:pStyle w:val="4"/>
              <w:ind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支持集群冗余技术，当硬盘故障时，HA机制就会自动触发虚机迁移动作，实现毫秒级切换，对用户来讲基本是无感知的；主机或者网络故障，虚拟桌面可以快速切换到另一台服务器拉起，约3-5分钟。以保障用户稳定的使用</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提供第三方检测报告证明硬盘故障时，桌面虚拟机可快速恢复使用</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restart"/>
            <w:vAlign w:val="center"/>
          </w:tcPr>
          <w:p>
            <w:pPr>
              <w:pStyle w:val="4"/>
              <w:ind w:firstLine="0" w:firstLineChars="0"/>
              <w:rPr>
                <w:rFonts w:hint="eastAsia"/>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其他要求</w:t>
            </w:r>
          </w:p>
        </w:tc>
        <w:tc>
          <w:tcPr>
            <w:tcW w:w="6372" w:type="dxa"/>
            <w:vAlign w:val="center"/>
          </w:tcPr>
          <w:p>
            <w:pPr>
              <w:pStyle w:val="4"/>
              <w:ind w:firstLine="0" w:firstLineChars="0"/>
              <w:rPr>
                <w:rFonts w:hint="default" w:ascii="Times New Roman" w:hAnsi="Times New Roman" w:eastAsia="宋体" w:cs="Times New Roman"/>
                <w:color w:val="000000" w:themeColor="text1"/>
                <w:kern w:val="0"/>
                <w:sz w:val="24"/>
                <w:szCs w:val="21"/>
                <w:lang w:val="en-US" w:eastAsia="zh-CN" w:bidi="ar-SA"/>
                <w14:textFill>
                  <w14:solidFill>
                    <w14:schemeClr w14:val="tx1"/>
                  </w14:solidFill>
                </w14:textFill>
              </w:rPr>
            </w:pPr>
            <w:r>
              <w:rPr>
                <w:rFonts w:hint="default"/>
                <w:color w:val="000000" w:themeColor="text1"/>
                <w:lang w:val="en-US" w:eastAsia="zh-CN"/>
                <w14:textFill>
                  <w14:solidFill>
                    <w14:schemeClr w14:val="tx1"/>
                  </w14:solidFill>
                </w14:textFill>
              </w:rPr>
              <w:t>要求具备ISO9001质量管理体系认证证书，以确保整套桌面云方案的成熟稳定，投标时需提供资质复印件。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vAlign w:val="center"/>
          </w:tcPr>
          <w:p>
            <w:pPr>
              <w:pStyle w:val="4"/>
              <w:ind w:firstLine="0" w:firstLineChars="0"/>
              <w:rPr>
                <w:rFonts w:hint="eastAsia"/>
                <w:color w:val="000000" w:themeColor="text1"/>
                <w14:textFill>
                  <w14:solidFill>
                    <w14:schemeClr w14:val="tx1"/>
                  </w14:solidFill>
                </w14:textFill>
              </w:rPr>
            </w:pPr>
          </w:p>
        </w:tc>
        <w:tc>
          <w:tcPr>
            <w:tcW w:w="6372" w:type="dxa"/>
            <w:vAlign w:val="center"/>
          </w:tcPr>
          <w:p>
            <w:pPr>
              <w:pStyle w:val="4"/>
              <w:ind w:firstLine="0" w:firstLineChars="0"/>
              <w:rPr>
                <w:rFonts w:hint="default" w:ascii="Times New Roman" w:hAnsi="Times New Roman" w:eastAsia="宋体" w:cs="Times New Roman"/>
                <w:color w:val="000000" w:themeColor="text1"/>
                <w:kern w:val="0"/>
                <w:sz w:val="24"/>
                <w:szCs w:val="21"/>
                <w:lang w:val="en-US" w:eastAsia="zh-CN" w:bidi="ar-SA"/>
                <w14:textFill>
                  <w14:solidFill>
                    <w14:schemeClr w14:val="tx1"/>
                  </w14:solidFill>
                </w14:textFill>
              </w:rPr>
            </w:pPr>
            <w:r>
              <w:rPr>
                <w:rFonts w:hint="default"/>
                <w:color w:val="000000" w:themeColor="text1"/>
                <w:lang w:val="en-US" w:eastAsia="zh-CN"/>
                <w14:textFill>
                  <w14:solidFill>
                    <w14:schemeClr w14:val="tx1"/>
                  </w14:solidFill>
                </w14:textFill>
              </w:rPr>
              <w:t>所投设备需要具备国家强制性CCC认证及中国质量认证中心出具的中国节能产品认证证书并提供两种资质的证书复印件。</w:t>
            </w:r>
          </w:p>
        </w:tc>
      </w:tr>
    </w:tbl>
    <w:p>
      <w:pPr>
        <w:pStyle w:val="5"/>
        <w:numPr>
          <w:ilvl w:val="1"/>
          <w:numId w:val="0"/>
        </w:numPr>
        <w:tabs>
          <w:tab w:val="left" w:pos="420"/>
          <w:tab w:val="left" w:pos="960"/>
        </w:tabs>
        <w:ind w:leftChars="0"/>
      </w:pPr>
      <w:r>
        <w:rPr>
          <w:rFonts w:hint="eastAsia"/>
          <w:lang w:val="en-US" w:eastAsia="zh-Hans"/>
        </w:rPr>
        <w:t>桌面云一体机</w:t>
      </w:r>
      <w:r>
        <w:rPr>
          <w:rFonts w:hint="eastAsia"/>
        </w:rPr>
        <w:t>要求</w:t>
      </w:r>
    </w:p>
    <w:p>
      <w:pPr>
        <w:pStyle w:val="4"/>
      </w:pPr>
    </w:p>
    <w:p>
      <w:pPr>
        <w:pStyle w:val="5"/>
        <w:numPr>
          <w:ilvl w:val="1"/>
          <w:numId w:val="0"/>
        </w:numPr>
        <w:tabs>
          <w:tab w:val="left" w:pos="420"/>
          <w:tab w:val="left" w:pos="960"/>
        </w:tabs>
      </w:pPr>
      <w:r>
        <w:rPr>
          <w:rFonts w:hint="eastAsia"/>
        </w:rPr>
        <w:t>桌面云接入授权软件要求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pPr>
            <w:r>
              <w:rPr>
                <w:rFonts w:hint="eastAsia"/>
              </w:rPr>
              <w:t>技术参数</w:t>
            </w:r>
          </w:p>
        </w:tc>
        <w:tc>
          <w:tcPr>
            <w:tcW w:w="6372" w:type="dxa"/>
          </w:tcPr>
          <w:p>
            <w:pPr>
              <w:pStyle w:val="4"/>
              <w:ind w:firstLine="0" w:firstLineChars="0"/>
            </w:pPr>
            <w:r>
              <w:rPr>
                <w:rFonts w:hint="eastAsia"/>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pPr>
            <w:r>
              <w:rPr>
                <w:rFonts w:hint="eastAsia"/>
              </w:rPr>
              <w:t>基本要求</w:t>
            </w:r>
          </w:p>
        </w:tc>
        <w:tc>
          <w:tcPr>
            <w:tcW w:w="6372" w:type="dxa"/>
          </w:tcPr>
          <w:p>
            <w:pPr>
              <w:pStyle w:val="4"/>
              <w:ind w:firstLine="0" w:firstLineChars="0"/>
              <w:rPr>
                <w:rFonts w:hint="eastAsia"/>
              </w:rPr>
            </w:pPr>
            <w:r>
              <w:rPr>
                <w:rFonts w:hint="eastAsia"/>
              </w:rPr>
              <w:t>★本项目要求提供</w:t>
            </w:r>
            <w:r>
              <w:rPr>
                <w:rFonts w:hint="eastAsia"/>
                <w:lang w:val="en-US" w:eastAsia="zh-CN"/>
              </w:rPr>
              <w:t>72</w:t>
            </w:r>
            <w:r>
              <w:rPr>
                <w:rFonts w:hint="eastAsia"/>
              </w:rPr>
              <w:t>个VDI用户授权，支持发布专有桌面、还原桌面（包括池化桌面）、共享桌面、远程应用至少5种桌面资源，满足不同场景的应用需求。</w:t>
            </w:r>
          </w:p>
        </w:tc>
      </w:tr>
    </w:tbl>
    <w:p>
      <w:pPr>
        <w:pStyle w:val="5"/>
        <w:numPr>
          <w:ilvl w:val="1"/>
          <w:numId w:val="0"/>
        </w:numPr>
        <w:tabs>
          <w:tab w:val="left" w:pos="420"/>
          <w:tab w:val="left" w:pos="960"/>
        </w:tabs>
      </w:pPr>
      <w:r>
        <w:rPr>
          <w:rFonts w:hint="eastAsia"/>
          <w:lang w:val="en-US" w:eastAsia="zh-CN"/>
        </w:rPr>
        <w:t>桌</w:t>
      </w:r>
      <w:r>
        <w:rPr>
          <w:rFonts w:hint="eastAsia"/>
        </w:rPr>
        <w:t>面云管理平台及软件要求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pStyle w:val="4"/>
              <w:ind w:firstLine="0" w:firstLineChars="0"/>
            </w:pPr>
            <w:r>
              <w:rPr>
                <w:rFonts w:hint="eastAsia"/>
              </w:rPr>
              <w:t>技术参数</w:t>
            </w:r>
          </w:p>
        </w:tc>
        <w:tc>
          <w:tcPr>
            <w:tcW w:w="7055" w:type="dxa"/>
          </w:tcPr>
          <w:p>
            <w:pPr>
              <w:pStyle w:val="4"/>
              <w:ind w:firstLine="0" w:firstLineChars="0"/>
            </w:pPr>
            <w:r>
              <w:rPr>
                <w:rFonts w:hint="eastAsia"/>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Align w:val="center"/>
          </w:tcPr>
          <w:p>
            <w:pPr>
              <w:pStyle w:val="4"/>
              <w:ind w:firstLine="0" w:firstLineChars="0"/>
              <w:rPr>
                <w:rFonts w:hint="default"/>
                <w:lang w:val="en-US" w:eastAsia="zh-CN"/>
              </w:rPr>
            </w:pPr>
            <w:r>
              <w:rPr>
                <w:rFonts w:hint="default"/>
                <w:lang w:val="en-US" w:eastAsia="zh-CN"/>
              </w:rPr>
              <w:t>桌面云控制器配置要求</w:t>
            </w:r>
          </w:p>
        </w:tc>
        <w:tc>
          <w:tcPr>
            <w:tcW w:w="7055" w:type="dxa"/>
            <w:vAlign w:val="center"/>
          </w:tcPr>
          <w:p>
            <w:pPr>
              <w:pStyle w:val="4"/>
              <w:ind w:firstLine="0" w:firstLineChars="0"/>
              <w:rPr>
                <w:rFonts w:hint="default"/>
                <w:lang w:val="en-US" w:eastAsia="zh-CN"/>
              </w:rPr>
            </w:pPr>
            <w:r>
              <w:rPr>
                <w:rFonts w:hint="default"/>
                <w:lang w:val="en-US" w:eastAsia="zh-CN"/>
              </w:rPr>
              <w:t>★</w:t>
            </w:r>
            <w:r>
              <w:rPr>
                <w:rFonts w:hint="eastAsia"/>
                <w:lang w:val="en-US" w:eastAsia="zh-CN"/>
              </w:rPr>
              <w:t>为</w:t>
            </w:r>
            <w:r>
              <w:rPr>
                <w:rFonts w:hint="default"/>
                <w:lang w:val="en-US" w:eastAsia="zh-CN"/>
              </w:rPr>
              <w:t>提升桌面云接入性能及稳定性，本项目要求配备</w:t>
            </w:r>
            <w:r>
              <w:rPr>
                <w:rFonts w:hint="eastAsia"/>
                <w:lang w:val="en-US" w:eastAsia="zh-CN"/>
              </w:rPr>
              <w:t>桌面云</w:t>
            </w:r>
            <w:r>
              <w:rPr>
                <w:rFonts w:hint="default"/>
                <w:lang w:val="en-US" w:eastAsia="zh-CN"/>
              </w:rPr>
              <w:t>控制器，支持协议代理远程访问功能（无需购置额外设备或组件）、控制器不依赖于第三方系统和数据库、性能需能满足</w:t>
            </w:r>
            <w:r>
              <w:rPr>
                <w:rFonts w:hint="eastAsia"/>
                <w:lang w:val="en-US" w:eastAsia="zh-CN"/>
              </w:rPr>
              <w:t>本次72</w:t>
            </w:r>
            <w:r>
              <w:rPr>
                <w:rFonts w:hint="default"/>
                <w:lang w:val="en-US" w:eastAsia="zh-CN"/>
              </w:rPr>
              <w:t>个用户的接入与策略管理，并需与桌面云终端、桌面云一体机同一品牌。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restart"/>
            <w:vAlign w:val="center"/>
          </w:tcPr>
          <w:p>
            <w:pPr>
              <w:pStyle w:val="4"/>
              <w:ind w:firstLine="0" w:firstLineChars="0"/>
              <w:rPr>
                <w:rFonts w:hint="eastAsia"/>
                <w:lang w:val="en-US" w:eastAsia="zh-CN"/>
              </w:rPr>
            </w:pPr>
            <w:r>
              <w:rPr>
                <w:rFonts w:hint="default"/>
                <w:lang w:val="en-US" w:eastAsia="zh-CN"/>
              </w:rPr>
              <w:t>用户体验</w:t>
            </w:r>
          </w:p>
        </w:tc>
        <w:tc>
          <w:tcPr>
            <w:tcW w:w="7055" w:type="dxa"/>
            <w:vAlign w:val="center"/>
          </w:tcPr>
          <w:p>
            <w:pPr>
              <w:pStyle w:val="4"/>
              <w:ind w:firstLine="0" w:firstLineChars="0"/>
              <w:rPr>
                <w:rFonts w:hint="default"/>
                <w:lang w:val="en-US" w:eastAsia="zh-CN"/>
              </w:rPr>
            </w:pPr>
            <w:r>
              <w:rPr>
                <w:rFonts w:hint="default"/>
                <w:lang w:val="en-US" w:eastAsia="zh-CN"/>
              </w:rPr>
              <w:t>在多应用办公场景下，可针对当下使用频率较高的软件做进程加速，管理员也可自定义需做进程加速应用，以保障应用使用体验</w:t>
            </w:r>
            <w:r>
              <w:rPr>
                <w:rFonts w:hint="eastAsia"/>
                <w:lang w:val="en-US" w:eastAsia="zh-CN"/>
              </w:rPr>
              <w:t>，提供功能截图并加盖厂商公章。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Hans"/>
              </w:rPr>
            </w:pPr>
          </w:p>
        </w:tc>
        <w:tc>
          <w:tcPr>
            <w:tcW w:w="7055" w:type="dxa"/>
            <w:vAlign w:val="center"/>
          </w:tcPr>
          <w:p>
            <w:pPr>
              <w:pStyle w:val="4"/>
              <w:ind w:firstLine="0" w:firstLineChars="0"/>
              <w:rPr>
                <w:rFonts w:hint="default"/>
                <w:lang w:val="en-US" w:eastAsia="zh-CN"/>
              </w:rPr>
            </w:pPr>
            <w:r>
              <w:rPr>
                <w:rFonts w:hint="default"/>
                <w:lang w:val="en-US" w:eastAsia="zh-CN"/>
              </w:rPr>
              <w:t>为了提高桌面使用稳定性，所投产品客户端连接虚拟桌面无需依赖虚拟机IP，如禁用虚机网卡或者随意更改IP，桌面会话不会中断，用户可以正常办公，避免因误操作而导致业务中断。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Hans"/>
              </w:rPr>
            </w:pPr>
          </w:p>
        </w:tc>
        <w:tc>
          <w:tcPr>
            <w:tcW w:w="7055" w:type="dxa"/>
            <w:vAlign w:val="center"/>
          </w:tcPr>
          <w:p>
            <w:pPr>
              <w:pStyle w:val="4"/>
              <w:ind w:firstLine="0" w:firstLineChars="0"/>
              <w:rPr>
                <w:rFonts w:hint="default"/>
                <w:lang w:val="en-US" w:eastAsia="zh-CN"/>
              </w:rPr>
            </w:pPr>
            <w:r>
              <w:rPr>
                <w:rFonts w:hint="default"/>
                <w:lang w:val="en-US" w:eastAsia="zh-CN"/>
              </w:rPr>
              <w:t>支持多种类型终端登录桌面云，支持PC、笔记本（含Windows操作系统和MAC笔记本）、云终端（含ARM和X86）、iPad、iPhone、Android移动终端等设备接入访问虚拟桌面。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Align w:val="center"/>
          </w:tcPr>
          <w:p>
            <w:pPr>
              <w:pStyle w:val="4"/>
              <w:ind w:firstLine="0" w:firstLineChars="0"/>
              <w:rPr>
                <w:rFonts w:hint="default" w:eastAsia="宋体"/>
                <w:lang w:val="en-US" w:eastAsia="zh-CN"/>
              </w:rPr>
            </w:pPr>
            <w:r>
              <w:rPr>
                <w:rFonts w:hint="eastAsia"/>
                <w:lang w:val="en-US" w:eastAsia="zh-CN"/>
              </w:rPr>
              <w:t>极简部署</w:t>
            </w:r>
          </w:p>
        </w:tc>
        <w:tc>
          <w:tcPr>
            <w:tcW w:w="7055" w:type="dxa"/>
            <w:vAlign w:val="center"/>
          </w:tcPr>
          <w:p>
            <w:pPr>
              <w:pStyle w:val="4"/>
              <w:ind w:firstLine="0" w:firstLineChars="0"/>
              <w:rPr>
                <w:rFonts w:hint="default"/>
                <w:lang w:val="en-US" w:eastAsia="zh-CN"/>
              </w:rPr>
            </w:pPr>
            <w:r>
              <w:rPr>
                <w:rFonts w:hint="default"/>
                <w:lang w:val="en-US" w:eastAsia="zh-CN"/>
              </w:rPr>
              <w:t>为了提高上线效率，本项目要求桌面云接入管理平台所有组件完全集成化，即不需要过多的安装调试步骤，后台导入一个镜像就可以完成部署。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restart"/>
            <w:vAlign w:val="center"/>
          </w:tcPr>
          <w:p>
            <w:pPr>
              <w:pStyle w:val="4"/>
              <w:ind w:firstLine="0" w:firstLineChars="0"/>
              <w:rPr>
                <w:rFonts w:hint="eastAsia" w:eastAsia="宋体"/>
                <w:lang w:val="en-US" w:eastAsia="zh-Hans"/>
              </w:rPr>
            </w:pPr>
            <w:r>
              <w:rPr>
                <w:rFonts w:hint="eastAsia"/>
                <w:lang w:val="en-US" w:eastAsia="zh-Hans"/>
              </w:rPr>
              <w:t>管理运维</w:t>
            </w:r>
          </w:p>
        </w:tc>
        <w:tc>
          <w:tcPr>
            <w:tcW w:w="7055" w:type="dxa"/>
            <w:vAlign w:val="center"/>
          </w:tcPr>
          <w:p>
            <w:pPr>
              <w:pStyle w:val="4"/>
              <w:ind w:firstLine="0" w:firstLineChars="0"/>
              <w:rPr>
                <w:rFonts w:hint="eastAsia"/>
                <w:lang w:val="en-US" w:eastAsia="zh-CN"/>
              </w:rPr>
            </w:pPr>
            <w:r>
              <w:rPr>
                <w:rFonts w:hint="default"/>
                <w:lang w:val="en-US" w:eastAsia="zh-CN"/>
              </w:rPr>
              <w:t>所投产品需支持模板升级，可以统一安装所需要升级的软件/补丁，一键更新到指定的虚拟机，满足标准化场景的软件和补丁更新需求，并不影响非c盘目录下个人数据。并可以设置虚拟机下次重启更新至模版状态，不影响当下使用</w:t>
            </w:r>
            <w:r>
              <w:rPr>
                <w:rFonts w:hint="eastAsia"/>
                <w:lang w:val="en-US" w:eastAsia="zh-CN"/>
              </w:rPr>
              <w:t>，</w:t>
            </w:r>
            <w:r>
              <w:rPr>
                <w:rFonts w:hint="default"/>
                <w:lang w:val="en-US" w:eastAsia="zh-CN"/>
              </w:rPr>
              <w:t>提供设置指定虚拟机更新与重启更新功能截图</w:t>
            </w:r>
            <w:r>
              <w:rPr>
                <w:rFonts w:hint="eastAsia"/>
                <w:lang w:val="en-US" w:eastAsia="zh-CN"/>
              </w:rPr>
              <w:t>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ascii="宋体" w:hAnsi="宋体"/>
                <w:color w:val="auto"/>
              </w:rPr>
            </w:pPr>
            <w:r>
              <w:rPr>
                <w:rFonts w:hint="eastAsia" w:ascii="宋体" w:hAnsi="宋体"/>
                <w:color w:val="auto"/>
              </w:rPr>
              <w:t>为了快速满足用户对桌面资源的诉求，所投产品需支持用户可自助申请虚拟机配置变更，由管理员审核，管理员可以选择审批通过、修改申请配置后申请通过、驳回操作，审核通过资源自动加到用户虚拟机上。并且用户申请虚拟机配置变更可以直接指定给部门资产管理员审批，既符合规定又提高效率</w:t>
            </w:r>
            <w:r>
              <w:rPr>
                <w:rFonts w:hint="eastAsia" w:ascii="宋体" w:hAnsi="宋体"/>
                <w:color w:val="auto"/>
                <w:lang w:eastAsia="zh-CN"/>
              </w:rPr>
              <w:t>，</w:t>
            </w:r>
            <w:r>
              <w:rPr>
                <w:rFonts w:hint="eastAsia" w:ascii="宋体" w:hAnsi="宋体"/>
                <w:color w:val="auto"/>
              </w:rPr>
              <w:t>需提供功能截图</w:t>
            </w:r>
            <w:r>
              <w:rPr>
                <w:rFonts w:hint="eastAsia" w:ascii="宋体" w:hAnsi="宋体"/>
                <w:color w:val="auto"/>
                <w:lang w:val="en-US" w:eastAsia="zh-CN"/>
              </w:rPr>
              <w:t>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lang w:val="en-US" w:eastAsia="zh-CN"/>
              </w:rPr>
            </w:pPr>
            <w:r>
              <w:rPr>
                <w:rFonts w:hint="default"/>
                <w:lang w:val="en-US" w:eastAsia="zh-CN"/>
              </w:rPr>
              <w:t>可通过运维平台进行自定义告警设置，设置内容包括告警名称、告警描述、告警类型、严重程度、检测指标、告警阈值、持续时间、查询语句、优化建议、告警对象。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restart"/>
            <w:vAlign w:val="center"/>
          </w:tcPr>
          <w:p>
            <w:pPr>
              <w:pStyle w:val="4"/>
              <w:ind w:firstLine="0" w:firstLineChars="0"/>
              <w:rPr>
                <w:rFonts w:hint="eastAsia"/>
                <w:lang w:val="en-US" w:eastAsia="zh-CN"/>
              </w:rPr>
            </w:pPr>
            <w:r>
              <w:rPr>
                <w:rFonts w:hint="default"/>
                <w:lang w:val="en-US" w:eastAsia="zh-CN"/>
              </w:rPr>
              <w:t>高可靠及安全</w:t>
            </w:r>
          </w:p>
        </w:tc>
        <w:tc>
          <w:tcPr>
            <w:tcW w:w="7055" w:type="dxa"/>
            <w:vAlign w:val="center"/>
          </w:tcPr>
          <w:p>
            <w:pPr>
              <w:pStyle w:val="4"/>
              <w:ind w:firstLine="0" w:firstLineChars="0"/>
              <w:rPr>
                <w:rFonts w:hint="eastAsia"/>
                <w:lang w:val="en-US" w:eastAsia="zh-CN"/>
              </w:rPr>
            </w:pPr>
            <w:r>
              <w:rPr>
                <w:rFonts w:hint="default"/>
                <w:lang w:val="en-US" w:eastAsia="zh-CN"/>
              </w:rPr>
              <w:t>为了保证高可靠，桌面云接入管理平台需支持集群模式，在不增加第三方负载均衡的情况下，可实现桌面云控制器宕机切换会话不中断</w:t>
            </w:r>
            <w:r>
              <w:rPr>
                <w:rFonts w:hint="eastAsia"/>
                <w:lang w:val="en-US" w:eastAsia="zh-CN"/>
              </w:rPr>
              <w:t>，</w:t>
            </w:r>
            <w:r>
              <w:rPr>
                <w:rFonts w:hint="default"/>
                <w:lang w:val="en-US" w:eastAsia="zh-CN"/>
              </w:rPr>
              <w:t>提供桌面云控制器集群部署配置功能截图及满足此参数的第三方检测机构报告证明</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lang w:val="en-US" w:eastAsia="zh-CN"/>
              </w:rPr>
            </w:pPr>
            <w:r>
              <w:rPr>
                <w:rFonts w:hint="eastAsia"/>
                <w:lang w:val="en-US" w:eastAsia="zh-CN"/>
              </w:rPr>
              <w:t>在远程应用场景下，</w:t>
            </w:r>
            <w:r>
              <w:rPr>
                <w:rFonts w:hint="default"/>
                <w:lang w:val="en-US" w:eastAsia="zh-CN"/>
              </w:rPr>
              <w:t>支持客户端准入检测，可根据用户接入的终端类型、操作系统版本、接入IP和时间、软件安装情况等条件设置接入访问策略，如客户端不满足安全检测要求则不允许接入</w:t>
            </w:r>
            <w:r>
              <w:rPr>
                <w:rFonts w:hint="eastAsia"/>
                <w:lang w:val="en-US" w:eastAsia="zh-CN"/>
              </w:rPr>
              <w:t>，</w:t>
            </w:r>
            <w:r>
              <w:rPr>
                <w:rFonts w:hint="default"/>
                <w:lang w:val="en-US" w:eastAsia="zh-CN"/>
              </w:rPr>
              <w:t>提供功能截图及第三方检测报告</w:t>
            </w:r>
            <w:r>
              <w:rPr>
                <w:rFonts w:hint="eastAsia"/>
                <w:lang w:val="en-US" w:eastAsia="zh-CN"/>
              </w:rPr>
              <w:t>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lang w:val="en-US" w:eastAsia="zh-CN"/>
              </w:rPr>
            </w:pPr>
            <w:r>
              <w:rPr>
                <w:rFonts w:hint="default"/>
                <w:lang w:val="en-US" w:eastAsia="zh-CN"/>
              </w:rPr>
              <w:t>为了满足用户安全性的需求，所投产品需满足，在不使用第三方产品的情况下，在虚拟化管理平台可配置基于ip、虚拟机、用户的ACL策略访问控制，以解决网络隔离配置的复杂性以及实现虚拟机直接的隔离安全</w:t>
            </w:r>
            <w:r>
              <w:rPr>
                <w:rFonts w:hint="eastAsia"/>
                <w:lang w:val="en-US" w:eastAsia="zh-CN"/>
              </w:rPr>
              <w:t>，</w:t>
            </w:r>
            <w:r>
              <w:rPr>
                <w:rFonts w:hint="default"/>
                <w:lang w:val="en-US" w:eastAsia="zh-CN"/>
              </w:rPr>
              <w:t>提供功能截图</w:t>
            </w:r>
            <w:r>
              <w:rPr>
                <w:rFonts w:hint="eastAsia"/>
                <w:lang w:val="en-US" w:eastAsia="zh-CN"/>
              </w:rPr>
              <w:t>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lang w:val="en-US" w:eastAsia="zh-CN"/>
              </w:rPr>
            </w:pPr>
            <w:r>
              <w:rPr>
                <w:rFonts w:hint="default"/>
                <w:lang w:val="en-US" w:eastAsia="zh-CN"/>
              </w:rPr>
              <w:t>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Pr>
                <w:rFonts w:hint="eastAsia"/>
                <w:lang w:val="en-US" w:eastAsia="zh-CN"/>
              </w:rPr>
              <w:t>，</w:t>
            </w:r>
            <w:r>
              <w:rPr>
                <w:rFonts w:hint="default"/>
                <w:lang w:val="en-US" w:eastAsia="zh-CN"/>
              </w:rPr>
              <w:t>提供第三方检测报告</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lang w:val="en-US" w:eastAsia="zh-CN"/>
              </w:rPr>
            </w:pPr>
            <w:r>
              <w:rPr>
                <w:rFonts w:hint="default"/>
                <w:lang w:val="en-US" w:eastAsia="zh-CN"/>
              </w:rPr>
              <w:t>支持多种认证方式随需组合，包括本地账号密码、usb-key认证、短信认证、硬件特征绑定、动态口令、ldap认证、raduis认证、AD域认证、瘦终端客户机认证、802.1x等多种方式，满足不同级别用户的安全接入需求</w:t>
            </w:r>
            <w:r>
              <w:rPr>
                <w:rFonts w:hint="eastAsia"/>
                <w:lang w:val="en-US" w:eastAsia="zh-CN"/>
              </w:rPr>
              <w:t>，</w:t>
            </w:r>
            <w:r>
              <w:rPr>
                <w:rFonts w:hint="default"/>
                <w:lang w:val="en-US" w:eastAsia="zh-CN"/>
              </w:rPr>
              <w:t>提供功能截图并加盖厂商公章及第三方检测报告</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vAlign w:val="center"/>
          </w:tcPr>
          <w:p>
            <w:pPr>
              <w:pStyle w:val="4"/>
              <w:ind w:firstLine="0" w:firstLineChars="0"/>
              <w:rPr>
                <w:rFonts w:hint="eastAsia"/>
                <w:lang w:val="en-US" w:eastAsia="zh-CN"/>
              </w:rPr>
            </w:pPr>
          </w:p>
        </w:tc>
        <w:tc>
          <w:tcPr>
            <w:tcW w:w="7055" w:type="dxa"/>
            <w:vAlign w:val="center"/>
          </w:tcPr>
          <w:p>
            <w:pPr>
              <w:pStyle w:val="4"/>
              <w:ind w:firstLine="0" w:firstLineChars="0"/>
              <w:rPr>
                <w:rFonts w:hint="eastAsia"/>
                <w:lang w:val="en-US" w:eastAsia="zh-CN"/>
              </w:rPr>
            </w:pPr>
            <w:r>
              <w:rPr>
                <w:rFonts w:hint="default"/>
                <w:lang w:val="en-US" w:eastAsia="zh-CN"/>
              </w:rPr>
              <w:t>支持个人盘加密技术，对云桌面个人数据进行加密保存，保障个人隐私安全</w:t>
            </w:r>
            <w:r>
              <w:rPr>
                <w:rFonts w:hint="eastAsia"/>
                <w:lang w:val="en-US" w:eastAsia="zh-CN"/>
              </w:rPr>
              <w:t>，</w:t>
            </w:r>
            <w:r>
              <w:rPr>
                <w:rFonts w:hint="default"/>
                <w:lang w:val="en-US" w:eastAsia="zh-CN"/>
              </w:rPr>
              <w:t>需提供第三方检测报告</w:t>
            </w:r>
            <w:r>
              <w:rPr>
                <w:rFonts w:hint="eastAsia"/>
                <w:lang w:val="en-US" w:eastAsia="zh-CN"/>
              </w:rPr>
              <w:t>。</w:t>
            </w:r>
          </w:p>
        </w:tc>
      </w:tr>
    </w:tbl>
    <w:p>
      <w:pPr>
        <w:pStyle w:val="5"/>
        <w:numPr>
          <w:ilvl w:val="1"/>
          <w:numId w:val="0"/>
        </w:numPr>
        <w:tabs>
          <w:tab w:val="left" w:pos="420"/>
          <w:tab w:val="left" w:pos="960"/>
        </w:tabs>
      </w:pPr>
      <w:r>
        <w:rPr>
          <w:rFonts w:hint="eastAsia"/>
          <w:lang w:val="en-US" w:eastAsia="zh-Hans"/>
        </w:rPr>
        <w:t>桌面云终端</w:t>
      </w:r>
      <w:r>
        <w:rPr>
          <w:rFonts w:hint="eastAsia"/>
        </w:rPr>
        <w:t>要求</w:t>
      </w:r>
      <w:bookmarkEnd w:id="0"/>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技术参数</w:t>
            </w:r>
          </w:p>
        </w:tc>
        <w:tc>
          <w:tcPr>
            <w:tcW w:w="637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产品参数</w:t>
            </w:r>
          </w:p>
        </w:tc>
        <w:tc>
          <w:tcPr>
            <w:tcW w:w="637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★本项目要求配备</w:t>
            </w:r>
            <w:r>
              <w:rPr>
                <w:rFonts w:hint="eastAsia"/>
                <w:color w:val="000000" w:themeColor="text1"/>
                <w:lang w:val="en-US" w:eastAsia="zh-CN"/>
                <w14:textFill>
                  <w14:solidFill>
                    <w14:schemeClr w14:val="tx1"/>
                  </w14:solidFill>
                </w14:textFill>
              </w:rPr>
              <w:t>72</w:t>
            </w:r>
            <w:r>
              <w:rPr>
                <w:rFonts w:hint="eastAsia"/>
                <w:color w:val="000000" w:themeColor="text1"/>
                <w14:textFill>
                  <w14:solidFill>
                    <w14:schemeClr w14:val="tx1"/>
                  </w14:solidFill>
                </w14:textFill>
              </w:rPr>
              <w:t>台云终端，与桌面云软件、服务器同一品牌。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widowControl/>
              <w:suppressLineNumbers w:val="0"/>
              <w:jc w:val="left"/>
              <w:textAlignment w:val="center"/>
              <w:rPr>
                <w:rFonts w:hint="eastAsia" w:ascii="Times New Roman" w:hAnsi="Times New Roman" w:eastAsia="宋体" w:cs="Times New Roman"/>
                <w:color w:val="000000" w:themeColor="text1"/>
                <w:kern w:val="0"/>
                <w:sz w:val="24"/>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1"/>
                <w:lang w:val="en-US" w:eastAsia="zh-CN" w:bidi="ar-SA"/>
                <w14:textFill>
                  <w14:solidFill>
                    <w14:schemeClr w14:val="tx1"/>
                  </w14:solidFill>
                </w14:textFill>
              </w:rPr>
              <w:t>硬件规格</w:t>
            </w:r>
          </w:p>
        </w:tc>
        <w:tc>
          <w:tcPr>
            <w:tcW w:w="6372" w:type="dxa"/>
            <w:vAlign w:val="center"/>
          </w:tcPr>
          <w:p>
            <w:pPr>
              <w:keepNext w:val="0"/>
              <w:keepLines w:val="0"/>
              <w:widowControl/>
              <w:suppressLineNumbers w:val="0"/>
              <w:jc w:val="left"/>
              <w:textAlignment w:val="center"/>
              <w:rPr>
                <w:rFonts w:hint="eastAsia" w:ascii="Times New Roman" w:hAnsi="Times New Roman" w:eastAsia="宋体" w:cs="Times New Roman"/>
                <w:color w:val="000000" w:themeColor="text1"/>
                <w:kern w:val="0"/>
                <w:sz w:val="24"/>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0"/>
                <w:sz w:val="24"/>
                <w:szCs w:val="21"/>
                <w:lang w:val="en-US" w:eastAsia="zh-CN" w:bidi="ar-SA"/>
                <w14:textFill>
                  <w14:solidFill>
                    <w14:schemeClr w14:val="tx1"/>
                  </w14:solidFill>
                </w14:textFill>
              </w:rPr>
              <w:t xml:space="preserve">ARM架构，CPU≥双核1.6Ghz、内存≥1G、存储≥4G、USB≥6个、1个VGA或HDMI、1个以太网口、1对音频口。 </w:t>
            </w:r>
            <w:r>
              <w:rPr>
                <w:rFonts w:hint="default" w:ascii="Times New Roman" w:hAnsi="Times New Roman" w:eastAsia="宋体" w:cs="Times New Roman"/>
                <w:color w:val="000000" w:themeColor="text1"/>
                <w:kern w:val="0"/>
                <w:sz w:val="24"/>
                <w:szCs w:val="21"/>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管理运维</w:t>
            </w:r>
          </w:p>
        </w:tc>
        <w:tc>
          <w:tcPr>
            <w:tcW w:w="6372" w:type="dxa"/>
          </w:tcPr>
          <w:p>
            <w:pPr>
              <w:pStyle w:val="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在瘦终端的管理方面，需支持分组管理、批量移动、删除、关闭瘦终端，支持配置定时开关机计划及加电自启动功能，支持自定义开机画面、配置自动登录和保存密码</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提供功能截图及第三方检测报告证明。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终端升级</w:t>
            </w:r>
          </w:p>
        </w:tc>
        <w:tc>
          <w:tcPr>
            <w:tcW w:w="6372" w:type="dxa"/>
          </w:tcPr>
          <w:p>
            <w:pPr>
              <w:pStyle w:val="4"/>
              <w:ind w:firstLine="0" w:firstLineChars="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为了简化管理，要求瘦终端支持远程唤醒，管理员可以使用桌面云控制器或者第三方教学软件，例如极域等，远程开机瘦终端。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4"/>
              <w:ind w:firstLine="0" w:firstLineChars="0"/>
              <w:rPr>
                <w:rFonts w:hint="eastAsia" w:ascii="Times New Roman" w:hAnsi="Times New Roman" w:cs="Times New Roman"/>
                <w:color w:val="000000" w:themeColor="text1"/>
                <w:lang w:eastAsia="zh-Hans"/>
                <w14:textFill>
                  <w14:solidFill>
                    <w14:schemeClr w14:val="tx1"/>
                  </w14:solidFill>
                </w14:textFill>
              </w:rPr>
            </w:pPr>
            <w:r>
              <w:rPr>
                <w:rFonts w:hint="eastAsia" w:ascii="Times New Roman" w:hAnsi="Times New Roman" w:cs="Times New Roman"/>
                <w:color w:val="000000" w:themeColor="text1"/>
                <w:lang w:val="en-US" w:eastAsia="zh-Hans"/>
                <w14:textFill>
                  <w14:solidFill>
                    <w14:schemeClr w14:val="tx1"/>
                  </w14:solidFill>
                </w14:textFill>
              </w:rPr>
              <w:t>资质要求</w:t>
            </w:r>
          </w:p>
        </w:tc>
        <w:tc>
          <w:tcPr>
            <w:tcW w:w="6372" w:type="dxa"/>
          </w:tcPr>
          <w:p>
            <w:pPr>
              <w:pStyle w:val="4"/>
              <w:ind w:firstLine="0" w:firstLineChars="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通过CCC产品质量管理认证、节能环保认证。</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1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w:t>
            </w:r>
            <w:r>
              <w:rPr>
                <w:rFonts w:hint="eastAsia" w:ascii="宋体" w:hAnsi="宋体" w:eastAsia="宋体" w:cs="宋体"/>
                <w:sz w:val="21"/>
                <w:szCs w:val="21"/>
                <w:lang w:val="en-US" w:eastAsia="zh-CN"/>
              </w:rPr>
              <w:t>以上三项</w:t>
            </w:r>
            <w:r>
              <w:rPr>
                <w:rFonts w:hint="eastAsia" w:ascii="宋体" w:hAnsi="宋体" w:eastAsia="宋体" w:cs="宋体"/>
                <w:sz w:val="21"/>
                <w:szCs w:val="21"/>
              </w:rPr>
              <w:t>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5"/>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1"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5"/>
        <w:rPr>
          <w:rFonts w:hint="eastAsia"/>
          <w:color w:val="000000"/>
        </w:rPr>
      </w:pPr>
    </w:p>
    <w:p/>
    <w:p/>
    <w:p/>
    <w:p/>
    <w:p>
      <w:pPr>
        <w:pStyle w:val="5"/>
        <w:rPr>
          <w:color w:val="000000"/>
        </w:rPr>
      </w:pPr>
      <w:r>
        <w:rPr>
          <w:rFonts w:hint="eastAsia"/>
          <w:color w:val="000000"/>
        </w:rPr>
        <w:t>（封面）</w:t>
      </w:r>
      <w:bookmarkEnd w:id="1"/>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十三、</w:t>
      </w:r>
      <w:r>
        <w:rPr>
          <w:rFonts w:hint="eastAsia" w:ascii="宋体" w:hAnsi="宋体" w:eastAsia="宋体" w:cs="宋体"/>
          <w:b w:val="0"/>
          <w:color w:val="000000"/>
          <w:sz w:val="24"/>
          <w:szCs w:val="24"/>
          <w:lang w:val="en-US" w:eastAsia="zh-CN"/>
        </w:rPr>
        <w:t>服务要求承诺</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w:t>
      </w:r>
      <w:r>
        <w:rPr>
          <w:rFonts w:hint="eastAsia" w:ascii="宋体" w:hAnsi="宋体" w:eastAsia="宋体" w:cs="宋体"/>
          <w:b w:val="0"/>
          <w:color w:val="000000"/>
          <w:sz w:val="24"/>
          <w:szCs w:val="24"/>
          <w:lang w:val="en-US" w:eastAsia="zh-CN"/>
        </w:rPr>
        <w:t>拟派技术人员信息</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7"/>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1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wordWrap w:val="0"/>
        <w:autoSpaceDE/>
        <w:autoSpaceDN/>
        <w:bidi w:val="0"/>
        <w:snapToGrid/>
        <w:spacing w:line="360" w:lineRule="auto"/>
        <w:jc w:val="left"/>
        <w:rPr>
          <w:rFonts w:hint="default" w:ascii="宋体" w:hAnsi="宋体" w:eastAsia="宋体" w:cs="宋体"/>
          <w:sz w:val="24"/>
          <w:szCs w:val="24"/>
          <w:lang w:val="en-US"/>
        </w:rPr>
      </w:pPr>
      <w:r>
        <w:rPr>
          <w:rFonts w:hint="eastAsia" w:ascii="宋体" w:hAnsi="宋体" w:eastAsia="宋体" w:cs="宋体"/>
          <w:b/>
          <w:sz w:val="28"/>
          <w:szCs w:val="28"/>
          <w:lang w:val="en-US" w:eastAsia="zh-CN"/>
        </w:rPr>
        <w:t>十三、服务要求承诺</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十四、拟派技术</w:t>
      </w:r>
      <w:bookmarkStart w:id="2" w:name="_GoBack"/>
      <w:bookmarkEnd w:id="2"/>
      <w:r>
        <w:rPr>
          <w:rFonts w:hint="eastAsia" w:ascii="宋体" w:hAnsi="宋体" w:eastAsia="宋体" w:cs="宋体"/>
          <w:b/>
          <w:sz w:val="28"/>
          <w:szCs w:val="28"/>
          <w:lang w:val="en-US" w:eastAsia="zh-CN"/>
        </w:rPr>
        <w:t>人员信息</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十五、其他（如技术要求偏离表）</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078E2"/>
    <w:multiLevelType w:val="singleLevel"/>
    <w:tmpl w:val="870078E2"/>
    <w:lvl w:ilvl="0" w:tentative="0">
      <w:start w:val="2"/>
      <w:numFmt w:val="chineseCounting"/>
      <w:suff w:val="nothing"/>
      <w:lvlText w:val="%1、"/>
      <w:lvlJc w:val="left"/>
      <w:rPr>
        <w:rFonts w:hint="eastAsia"/>
      </w:rPr>
    </w:lvl>
  </w:abstractNum>
  <w:abstractNum w:abstractNumId="1">
    <w:nsid w:val="00000027"/>
    <w:multiLevelType w:val="multilevel"/>
    <w:tmpl w:val="00000027"/>
    <w:lvl w:ilvl="0" w:tentative="0">
      <w:start w:val="1"/>
      <w:numFmt w:val="decimal"/>
      <w:lvlText w:val="第%1章"/>
      <w:lvlJc w:val="left"/>
      <w:pPr>
        <w:tabs>
          <w:tab w:val="left" w:pos="425"/>
        </w:tabs>
        <w:ind w:left="425" w:hanging="425"/>
      </w:pPr>
      <w:rPr>
        <w:rFonts w:hint="default" w:ascii="Arial" w:hAnsi="Arial" w:eastAsia="宋体"/>
      </w:rPr>
    </w:lvl>
    <w:lvl w:ilvl="1" w:tentative="0">
      <w:start w:val="1"/>
      <w:numFmt w:val="decimal"/>
      <w:lvlText w:val="%1.%2."/>
      <w:lvlJc w:val="left"/>
      <w:pPr>
        <w:tabs>
          <w:tab w:val="left" w:pos="567"/>
        </w:tabs>
        <w:ind w:left="567" w:hanging="567"/>
      </w:pPr>
      <w:rPr>
        <w:rFonts w:hint="default" w:ascii="Arial" w:hAnsi="Arial" w:eastAsia="宋体"/>
      </w:rPr>
    </w:lvl>
    <w:lvl w:ilvl="2" w:tentative="0">
      <w:start w:val="1"/>
      <w:numFmt w:val="decimal"/>
      <w:pStyle w:val="6"/>
      <w:lvlText w:val="%1.%2.%3."/>
      <w:lvlJc w:val="left"/>
      <w:pPr>
        <w:tabs>
          <w:tab w:val="left" w:pos="709"/>
        </w:tabs>
        <w:ind w:left="709" w:hanging="709"/>
      </w:pPr>
      <w:rPr>
        <w:rFonts w:hint="default" w:ascii="Arial" w:hAnsi="Arial" w:eastAsia="宋体"/>
      </w:rPr>
    </w:lvl>
    <w:lvl w:ilvl="3" w:tentative="0">
      <w:start w:val="1"/>
      <w:numFmt w:val="decimal"/>
      <w:pStyle w:val="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BF41490"/>
    <w:multiLevelType w:val="multilevel"/>
    <w:tmpl w:val="1BF41490"/>
    <w:lvl w:ilvl="0" w:tentative="0">
      <w:start w:val="1"/>
      <w:numFmt w:val="bullet"/>
      <w:lvlText w:val=""/>
      <w:lvlJc w:val="left"/>
      <w:pPr>
        <w:ind w:left="840" w:hanging="420"/>
      </w:pPr>
      <w:rPr>
        <w:rFonts w:hint="default" w:ascii="Wingdings" w:hAnsi="Wingdings"/>
      </w:rPr>
    </w:lvl>
    <w:lvl w:ilvl="1" w:tentative="0">
      <w:start w:val="1"/>
      <w:numFmt w:val="bullet"/>
      <w:pStyle w:val="26"/>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C033318"/>
    <w:multiLevelType w:val="multilevel"/>
    <w:tmpl w:val="2C033318"/>
    <w:lvl w:ilvl="0" w:tentative="0">
      <w:start w:val="1"/>
      <w:numFmt w:val="decimal"/>
      <w:pStyle w:val="25"/>
      <w:lvlText w:val="%1)"/>
      <w:lvlJc w:val="left"/>
      <w:pPr>
        <w:ind w:left="480" w:hanging="480"/>
      </w:pPr>
      <w:rPr>
        <w:rFonts w:hint="default" w:ascii="Arial" w:hAnsi="Arial" w:eastAsia="宋体"/>
      </w:rPr>
    </w:lvl>
    <w:lvl w:ilvl="1" w:tentative="0">
      <w:start w:val="1"/>
      <w:numFmt w:val="lowerLetter"/>
      <w:lvlText w:val="%2)"/>
      <w:lvlJc w:val="left"/>
      <w:pPr>
        <w:ind w:left="1440" w:hanging="480"/>
      </w:pPr>
      <w:rPr>
        <w:rFonts w:hint="eastAsia"/>
      </w:rPr>
    </w:lvl>
    <w:lvl w:ilvl="2" w:tentative="0">
      <w:start w:val="1"/>
      <w:numFmt w:val="lowerRoman"/>
      <w:lvlText w:val="%3."/>
      <w:lvlJc w:val="right"/>
      <w:pPr>
        <w:ind w:left="1920" w:hanging="480"/>
      </w:pPr>
      <w:rPr>
        <w:rFonts w:hint="eastAsia"/>
      </w:rPr>
    </w:lvl>
    <w:lvl w:ilvl="3" w:tentative="0">
      <w:start w:val="1"/>
      <w:numFmt w:val="decimal"/>
      <w:lvlText w:val="%4."/>
      <w:lvlJc w:val="left"/>
      <w:pPr>
        <w:ind w:left="2400" w:hanging="480"/>
      </w:pPr>
      <w:rPr>
        <w:rFonts w:hint="eastAsia"/>
      </w:rPr>
    </w:lvl>
    <w:lvl w:ilvl="4" w:tentative="0">
      <w:start w:val="1"/>
      <w:numFmt w:val="lowerLetter"/>
      <w:lvlText w:val="%5)"/>
      <w:lvlJc w:val="left"/>
      <w:pPr>
        <w:ind w:left="2880" w:hanging="480"/>
      </w:pPr>
      <w:rPr>
        <w:rFonts w:hint="eastAsia"/>
      </w:rPr>
    </w:lvl>
    <w:lvl w:ilvl="5" w:tentative="0">
      <w:start w:val="1"/>
      <w:numFmt w:val="lowerRoman"/>
      <w:lvlText w:val="%6."/>
      <w:lvlJc w:val="right"/>
      <w:pPr>
        <w:ind w:left="3360" w:hanging="480"/>
      </w:pPr>
      <w:rPr>
        <w:rFonts w:hint="eastAsia"/>
      </w:rPr>
    </w:lvl>
    <w:lvl w:ilvl="6" w:tentative="0">
      <w:start w:val="1"/>
      <w:numFmt w:val="decimal"/>
      <w:lvlText w:val="%7."/>
      <w:lvlJc w:val="left"/>
      <w:pPr>
        <w:ind w:left="3840" w:hanging="480"/>
      </w:pPr>
      <w:rPr>
        <w:rFonts w:hint="eastAsia"/>
      </w:rPr>
    </w:lvl>
    <w:lvl w:ilvl="7" w:tentative="0">
      <w:start w:val="1"/>
      <w:numFmt w:val="lowerLetter"/>
      <w:lvlText w:val="%8)"/>
      <w:lvlJc w:val="left"/>
      <w:pPr>
        <w:ind w:left="4320" w:hanging="480"/>
      </w:pPr>
      <w:rPr>
        <w:rFonts w:hint="eastAsia"/>
      </w:rPr>
    </w:lvl>
    <w:lvl w:ilvl="8" w:tentative="0">
      <w:start w:val="1"/>
      <w:numFmt w:val="lowerRoman"/>
      <w:lvlText w:val="%9."/>
      <w:lvlJc w:val="right"/>
      <w:pPr>
        <w:ind w:left="4800" w:hanging="480"/>
      </w:pPr>
      <w:rPr>
        <w:rFonts w:hint="eastAsia"/>
      </w:rPr>
    </w:lvl>
  </w:abstractNum>
  <w:abstractNum w:abstractNumId="4">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5">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6">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07115D"/>
    <w:rsid w:val="06B07F83"/>
    <w:rsid w:val="0A646A81"/>
    <w:rsid w:val="0ECE7008"/>
    <w:rsid w:val="0FB218E1"/>
    <w:rsid w:val="11AB1717"/>
    <w:rsid w:val="11EF4694"/>
    <w:rsid w:val="140464E1"/>
    <w:rsid w:val="19BD2CB7"/>
    <w:rsid w:val="1A9B0069"/>
    <w:rsid w:val="224C6733"/>
    <w:rsid w:val="23507ADC"/>
    <w:rsid w:val="25757733"/>
    <w:rsid w:val="267A5F90"/>
    <w:rsid w:val="2B8A6B32"/>
    <w:rsid w:val="2D1D3BDB"/>
    <w:rsid w:val="2DFB03C5"/>
    <w:rsid w:val="2FC378C6"/>
    <w:rsid w:val="3281623F"/>
    <w:rsid w:val="32944704"/>
    <w:rsid w:val="35F76E43"/>
    <w:rsid w:val="36EB413B"/>
    <w:rsid w:val="37FC75FC"/>
    <w:rsid w:val="386023ED"/>
    <w:rsid w:val="393C0F46"/>
    <w:rsid w:val="3E9002A8"/>
    <w:rsid w:val="44AA028A"/>
    <w:rsid w:val="47C04769"/>
    <w:rsid w:val="489F057B"/>
    <w:rsid w:val="4AEA1D1A"/>
    <w:rsid w:val="4AED3729"/>
    <w:rsid w:val="557D67C8"/>
    <w:rsid w:val="5B8F32C9"/>
    <w:rsid w:val="5D060709"/>
    <w:rsid w:val="5DFF20EB"/>
    <w:rsid w:val="5E196925"/>
    <w:rsid w:val="61E22D13"/>
    <w:rsid w:val="62E24E32"/>
    <w:rsid w:val="661108EC"/>
    <w:rsid w:val="669049D8"/>
    <w:rsid w:val="67D14995"/>
    <w:rsid w:val="6D4F63E7"/>
    <w:rsid w:val="6F5104C0"/>
    <w:rsid w:val="719B7B32"/>
    <w:rsid w:val="75272E62"/>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3"/>
    <w:next w:val="4"/>
    <w:qFormat/>
    <w:uiPriority w:val="7"/>
    <w:pPr>
      <w:spacing w:before="340" w:after="330" w:line="578" w:lineRule="auto"/>
      <w:outlineLvl w:val="0"/>
    </w:pPr>
    <w:rPr>
      <w:b/>
      <w:sz w:val="44"/>
      <w:szCs w:val="44"/>
    </w:rPr>
  </w:style>
  <w:style w:type="paragraph" w:styleId="5">
    <w:name w:val="heading 2"/>
    <w:basedOn w:val="3"/>
    <w:next w:val="4"/>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6">
    <w:name w:val="heading 3"/>
    <w:basedOn w:val="1"/>
    <w:next w:val="1"/>
    <w:qFormat/>
    <w:uiPriority w:val="0"/>
    <w:pPr>
      <w:numPr>
        <w:ilvl w:val="2"/>
        <w:numId w:val="1"/>
      </w:numPr>
      <w:spacing w:before="240" w:beforeLines="100" w:after="240" w:afterLines="100" w:line="300" w:lineRule="auto"/>
      <w:ind w:left="569" w:hanging="569" w:hangingChars="236"/>
      <w:outlineLvl w:val="2"/>
    </w:pPr>
    <w:rPr>
      <w:rFonts w:ascii="Arial" w:hAnsi="Arial"/>
      <w:b/>
    </w:rPr>
  </w:style>
  <w:style w:type="paragraph" w:styleId="7">
    <w:name w:val="heading 4"/>
    <w:basedOn w:val="1"/>
    <w:next w:val="1"/>
    <w:qFormat/>
    <w:uiPriority w:val="0"/>
    <w:pPr>
      <w:keepNext/>
      <w:keepLines/>
      <w:numPr>
        <w:ilvl w:val="3"/>
        <w:numId w:val="1"/>
      </w:numPr>
      <w:spacing w:after="0" w:afterLines="0" w:line="300" w:lineRule="auto"/>
      <w:outlineLvl w:val="3"/>
    </w:pPr>
    <w:rPr>
      <w:rFonts w:ascii="宋体" w:hAnsi="宋体"/>
      <w:b/>
    </w:rPr>
  </w:style>
  <w:style w:type="character" w:default="1" w:styleId="19">
    <w:name w:val="Default Paragraph Font"/>
    <w:semiHidden/>
    <w:qFormat/>
    <w:uiPriority w:val="2"/>
  </w:style>
  <w:style w:type="table" w:default="1" w:styleId="17">
    <w:name w:val="Normal Table"/>
    <w:semiHidden/>
    <w:qFormat/>
    <w:uiPriority w:val="3"/>
    <w:tblPr>
      <w:tblCellMar>
        <w:top w:w="0" w:type="dxa"/>
        <w:left w:w="108" w:type="dxa"/>
        <w:bottom w:w="0" w:type="dxa"/>
        <w:right w:w="108" w:type="dxa"/>
      </w:tblCellMar>
    </w:tblPr>
  </w:style>
  <w:style w:type="paragraph" w:styleId="3">
    <w:name w:val="List Paragraph"/>
    <w:basedOn w:val="1"/>
    <w:qFormat/>
    <w:uiPriority w:val="26"/>
    <w:pPr>
      <w:ind w:firstLine="200"/>
    </w:pPr>
    <w:rPr>
      <w:rFonts w:ascii="Times New Roman" w:hAnsi="Times New Roman" w:eastAsia="宋体" w:cs="Times New Roman"/>
      <w:sz w:val="28"/>
      <w:szCs w:val="28"/>
    </w:rPr>
  </w:style>
  <w:style w:type="paragraph" w:customStyle="1" w:styleId="4">
    <w:name w:val="正文（深信服科技）"/>
    <w:qFormat/>
    <w:uiPriority w:val="0"/>
    <w:pPr>
      <w:adjustRightInd w:val="0"/>
      <w:snapToGrid w:val="0"/>
      <w:spacing w:line="360" w:lineRule="auto"/>
      <w:ind w:firstLine="480" w:firstLineChars="200"/>
      <w:jc w:val="both"/>
    </w:pPr>
    <w:rPr>
      <w:rFonts w:ascii="Times New Roman" w:hAnsi="Times New Roman" w:eastAsia="宋体" w:cs="Times New Roman"/>
      <w:kern w:val="0"/>
      <w:sz w:val="24"/>
      <w:szCs w:val="21"/>
      <w:lang w:val="en-US" w:eastAsia="zh-CN" w:bidi="ar-SA"/>
    </w:rPr>
  </w:style>
  <w:style w:type="paragraph" w:styleId="8">
    <w:name w:val="Normal Indent"/>
    <w:basedOn w:val="1"/>
    <w:unhideWhenUsed/>
    <w:qFormat/>
    <w:uiPriority w:val="0"/>
    <w:pPr>
      <w:ind w:firstLine="420" w:firstLineChars="200"/>
    </w:pPr>
  </w:style>
  <w:style w:type="paragraph" w:styleId="9">
    <w:name w:val="Body Text"/>
    <w:basedOn w:val="1"/>
    <w:qFormat/>
    <w:uiPriority w:val="1"/>
    <w:rPr>
      <w:rFonts w:ascii="Times New Roman" w:hAnsi="Times New Roman" w:eastAsia="Times New Roman" w:cs="Times New Roman"/>
      <w:b/>
      <w:bCs/>
      <w:sz w:val="18"/>
      <w:szCs w:val="18"/>
    </w:rPr>
  </w:style>
  <w:style w:type="paragraph" w:styleId="10">
    <w:name w:val="toc 3"/>
    <w:basedOn w:val="1"/>
    <w:next w:val="1"/>
    <w:unhideWhenUsed/>
    <w:qFormat/>
    <w:uiPriority w:val="39"/>
    <w:pPr>
      <w:ind w:left="840" w:leftChars="400"/>
    </w:pPr>
  </w:style>
  <w:style w:type="paragraph" w:styleId="11">
    <w:name w:val="footer"/>
    <w:basedOn w:val="1"/>
    <w:qFormat/>
    <w:uiPriority w:val="151"/>
    <w:pPr>
      <w:tabs>
        <w:tab w:val="center" w:pos="4153"/>
        <w:tab w:val="right" w:pos="8306"/>
      </w:tabs>
      <w:snapToGrid w:val="0"/>
      <w:jc w:val="left"/>
    </w:pPr>
    <w:rPr>
      <w:sz w:val="18"/>
      <w:szCs w:val="18"/>
    </w:rPr>
  </w:style>
  <w:style w:type="paragraph" w:styleId="12">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13">
    <w:name w:val="toc 1"/>
    <w:basedOn w:val="1"/>
    <w:next w:val="1"/>
    <w:unhideWhenUsed/>
    <w:qFormat/>
    <w:uiPriority w:val="39"/>
    <w:rPr>
      <w:rFonts w:ascii="Arial" w:hAnsi="Arial"/>
    </w:rPr>
  </w:style>
  <w:style w:type="paragraph" w:styleId="14">
    <w:name w:val="toc 4"/>
    <w:basedOn w:val="1"/>
    <w:next w:val="1"/>
    <w:unhideWhenUsed/>
    <w:qFormat/>
    <w:uiPriority w:val="39"/>
    <w:pPr>
      <w:ind w:left="1260" w:leftChars="600"/>
    </w:pPr>
    <w:rPr>
      <w:sz w:val="21"/>
    </w:rPr>
  </w:style>
  <w:style w:type="paragraph" w:styleId="15">
    <w:name w:val="toc 2"/>
    <w:basedOn w:val="1"/>
    <w:next w:val="1"/>
    <w:unhideWhenUsed/>
    <w:qFormat/>
    <w:uiPriority w:val="39"/>
    <w:pPr>
      <w:ind w:left="420" w:leftChars="200"/>
    </w:pPr>
  </w:style>
  <w:style w:type="paragraph" w:styleId="1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8">
    <w:name w:val="Table Grid"/>
    <w:basedOn w:val="1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character" w:customStyle="1" w:styleId="22">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23">
    <w:name w:val="7 正文"/>
    <w:basedOn w:val="8"/>
    <w:qFormat/>
    <w:uiPriority w:val="0"/>
    <w:pPr>
      <w:spacing w:before="100" w:beforeAutospacing="1" w:after="100" w:afterLines="0" w:afterAutospacing="1" w:line="300" w:lineRule="auto"/>
      <w:ind w:firstLine="480"/>
      <w:jc w:val="left"/>
    </w:pPr>
    <w:rPr>
      <w:rFonts w:ascii="Arial" w:hAnsi="Arial"/>
      <w:szCs w:val="24"/>
    </w:rPr>
  </w:style>
  <w:style w:type="paragraph" w:customStyle="1" w:styleId="24">
    <w:name w:val="4 四级标题"/>
    <w:basedOn w:val="25"/>
    <w:qFormat/>
    <w:uiPriority w:val="0"/>
    <w:pPr>
      <w:tabs>
        <w:tab w:val="left" w:pos="360"/>
      </w:tabs>
    </w:pPr>
    <w:rPr>
      <w:rFonts w:ascii="Arial" w:hAnsi="Arial"/>
    </w:rPr>
  </w:style>
  <w:style w:type="paragraph" w:customStyle="1" w:styleId="25">
    <w:name w:val="标题4"/>
    <w:basedOn w:val="8"/>
    <w:qFormat/>
    <w:uiPriority w:val="0"/>
    <w:pPr>
      <w:numPr>
        <w:ilvl w:val="0"/>
        <w:numId w:val="2"/>
      </w:numPr>
      <w:tabs>
        <w:tab w:val="left" w:pos="360"/>
      </w:tabs>
      <w:spacing w:before="100" w:beforeAutospacing="1" w:after="100" w:afterLines="0" w:afterAutospacing="1" w:line="300" w:lineRule="auto"/>
      <w:ind w:left="426" w:hanging="426" w:firstLineChars="0"/>
    </w:pPr>
    <w:rPr>
      <w:rFonts w:ascii="宋体" w:hAnsi="宋体"/>
      <w:szCs w:val="24"/>
    </w:rPr>
  </w:style>
  <w:style w:type="paragraph" w:customStyle="1" w:styleId="26">
    <w:name w:val="6 六级标题"/>
    <w:basedOn w:val="8"/>
    <w:qFormat/>
    <w:uiPriority w:val="0"/>
    <w:pPr>
      <w:numPr>
        <w:ilvl w:val="1"/>
        <w:numId w:val="3"/>
      </w:numPr>
      <w:spacing w:before="100" w:beforeAutospacing="1" w:after="100" w:afterLines="0" w:afterAutospacing="1" w:line="300" w:lineRule="auto"/>
      <w:ind w:firstLineChars="0"/>
    </w:pPr>
    <w:rPr>
      <w:rFonts w:ascii="Arial" w:hAnsi="Arial"/>
      <w:szCs w:val="24"/>
    </w:rPr>
  </w:style>
  <w:style w:type="paragraph" w:customStyle="1" w:styleId="27">
    <w:name w:val="正文段"/>
    <w:basedOn w:val="1"/>
    <w:qFormat/>
    <w:uiPriority w:val="0"/>
    <w:pPr>
      <w:widowControl/>
      <w:snapToGrid w:val="0"/>
      <w:ind w:firstLine="200" w:firstLineChars="200"/>
    </w:pPr>
    <w:rPr>
      <w:kern w:val="0"/>
      <w:sz w:val="24"/>
      <w:szCs w:val="20"/>
    </w:rPr>
  </w:style>
  <w:style w:type="paragraph" w:customStyle="1" w:styleId="28">
    <w:name w:val="左对齐的表内文字"/>
    <w:basedOn w:val="1"/>
    <w:qFormat/>
    <w:uiPriority w:val="0"/>
    <w:rPr>
      <w:rFonts w:eastAsia="仿宋_GB2312" w:cs="宋体"/>
    </w:rPr>
  </w:style>
  <w:style w:type="paragraph" w:customStyle="1" w:styleId="29">
    <w:name w:val="样式 首行缩进:  0 字符"/>
    <w:basedOn w:val="1"/>
    <w:qFormat/>
    <w:uiPriority w:val="0"/>
    <w:pPr>
      <w:spacing w:line="360" w:lineRule="auto"/>
    </w:pPr>
    <w:rPr>
      <w:rFonts w:cs="宋体"/>
      <w:sz w:val="24"/>
      <w:szCs w:val="20"/>
    </w:rPr>
  </w:style>
  <w:style w:type="character" w:customStyle="1" w:styleId="30">
    <w:name w:val="ca-12"/>
    <w:qFormat/>
    <w:uiPriority w:val="0"/>
    <w:rPr>
      <w:rFonts w:eastAsia="宋体" w:cs="Times New Roman"/>
      <w:kern w:val="2"/>
      <w:sz w:val="24"/>
      <w:szCs w:val="24"/>
      <w:lang w:val="en-US" w:eastAsia="zh-CN" w:bidi="ar-SA"/>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7081</Words>
  <Characters>9156</Characters>
  <Lines>0</Lines>
  <Paragraphs>0</Paragraphs>
  <TotalTime>2</TotalTime>
  <ScaleCrop>false</ScaleCrop>
  <LinksUpToDate>false</LinksUpToDate>
  <CharactersWithSpaces>9738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2022-11-18T03:25:39Z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B28B1145F67B4EC8B7A8D1C8B3DF65E0</vt:lpwstr>
  </property>
  <property fmtid="{D5CDD505-2E9C-101B-9397-08002B2CF9AE}" pid="4" name="commondata">
    <vt:lpwstr>eyJoZGlkIjoiM2I5YmQyM2VlMzIyNzg3MTM0MjMzMjczYWU0N2U3MTcifQ==</vt:lpwstr>
  </property>
</Properties>
</file>