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952625" cy="1609090"/>
            <wp:effectExtent l="0" t="0" r="9525" b="10160"/>
            <wp:docPr id="1" name="图片 1" descr="2d1fb2cdee7713eddb2d7f6ff2c0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d1fb2cdee7713eddb2d7f6ff2c04f4"/>
                    <pic:cNvPicPr>
                      <a:picLocks noChangeAspect="1"/>
                    </pic:cNvPicPr>
                  </pic:nvPicPr>
                  <pic:blipFill>
                    <a:blip r:embed="rId4"/>
                    <a:stretch>
                      <a:fillRect/>
                    </a:stretch>
                  </pic:blipFill>
                  <pic:spPr>
                    <a:xfrm>
                      <a:off x="0" y="0"/>
                      <a:ext cx="1952625" cy="1609090"/>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default" w:ascii="黑体" w:hAnsi="黑体" w:eastAsia="黑体" w:cs="黑体"/>
          <w:b/>
          <w:sz w:val="28"/>
          <w:szCs w:val="28"/>
          <w:lang w:val="en-US" w:eastAsia="zh-CN"/>
        </w:rPr>
      </w:pPr>
      <w:r>
        <w:rPr>
          <w:rFonts w:hint="eastAsia" w:ascii="黑体" w:hAnsi="黑体" w:eastAsia="黑体" w:cs="黑体"/>
          <w:b/>
          <w:sz w:val="28"/>
          <w:szCs w:val="28"/>
          <w:lang w:val="en-US" w:eastAsia="zh-CN"/>
        </w:rPr>
        <w:t>DRGS系统升级DIP项目（二次）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2022年12月16</w:t>
      </w:r>
      <w:bookmarkStart w:id="96" w:name="_GoBack"/>
      <w:bookmarkEnd w:id="96"/>
      <w:r>
        <w:rPr>
          <w:rFonts w:hint="eastAsia" w:ascii="黑体" w:hAnsi="黑体" w:eastAsia="黑体" w:cs="黑体"/>
          <w:b/>
          <w:sz w:val="28"/>
          <w:szCs w:val="28"/>
          <w:lang w:val="en-US" w:eastAsia="zh-CN"/>
        </w:rPr>
        <w:t>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15"/>
        <w:tblW w:w="854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67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default" w:ascii="宋体" w:hAnsi="宋体" w:eastAsia="宋体" w:cs="宋体"/>
                <w:lang w:val="en-US" w:eastAsia="zh-CN"/>
              </w:rPr>
            </w:pPr>
            <w:r>
              <w:rPr>
                <w:rFonts w:hint="eastAsia" w:ascii="宋体" w:hAnsi="宋体" w:eastAsia="宋体" w:cs="宋体"/>
                <w:lang w:val="en-US" w:eastAsia="zh-CN"/>
              </w:rPr>
              <w:t>DRGS系统升级DIP</w:t>
            </w:r>
          </w:p>
        </w:tc>
        <w:tc>
          <w:tcPr>
            <w:tcW w:w="90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项</w:t>
            </w:r>
          </w:p>
        </w:tc>
        <w:tc>
          <w:tcPr>
            <w:tcW w:w="82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c>
          <w:tcPr>
            <w:tcW w:w="167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单一来源理由</w:t>
            </w:r>
          </w:p>
        </w:tc>
        <w:tc>
          <w:tcPr>
            <w:tcW w:w="474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由于我院原有DGRS系统为东华公司安装，现因政策变动及工作需要，需要对系统进行升级改造，所以采用单一来源方式进行采购。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服务</w:t>
            </w:r>
            <w:r>
              <w:rPr>
                <w:rFonts w:hint="eastAsia" w:ascii="宋体" w:hAnsi="宋体" w:eastAsia="宋体" w:cs="宋体"/>
                <w:sz w:val="24"/>
                <w:szCs w:val="24"/>
              </w:rPr>
              <w:t>期</w:t>
            </w:r>
          </w:p>
        </w:tc>
        <w:tc>
          <w:tcPr>
            <w:tcW w:w="474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合同签订后 15日内进场，合同质保期限 1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743" w:type="dxa"/>
            <w:gridSpan w:val="4"/>
            <w:vAlign w:val="center"/>
          </w:tcPr>
          <w:p>
            <w:pPr>
              <w:rPr>
                <w:rFonts w:hint="default" w:ascii="宋体" w:hAnsi="宋体" w:eastAsia="宋体" w:cs="宋体"/>
                <w:sz w:val="24"/>
                <w:szCs w:val="24"/>
                <w:lang w:val="en-US"/>
              </w:rPr>
            </w:pPr>
            <w:r>
              <w:rPr>
                <w:rFonts w:hint="eastAsia" w:ascii="宋体" w:hAnsi="宋体" w:eastAsia="宋体" w:cs="宋体"/>
                <w:sz w:val="21"/>
                <w:szCs w:val="21"/>
                <w:lang w:val="en-US" w:eastAsia="zh-CN" w:bidi="ar-SA"/>
              </w:rPr>
              <w:t>经考核及验收合格后一次性付清。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865" w:type="dxa"/>
            <w:vAlign w:val="center"/>
          </w:tcPr>
          <w:p>
            <w:pPr>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rPr>
              <w:t>服务</w:t>
            </w:r>
            <w:r>
              <w:rPr>
                <w:rFonts w:hint="eastAsia" w:ascii="宋体" w:hAnsi="宋体" w:eastAsia="宋体" w:cs="宋体"/>
                <w:sz w:val="24"/>
                <w:szCs w:val="24"/>
              </w:rPr>
              <w:t>地点</w:t>
            </w:r>
          </w:p>
        </w:tc>
        <w:tc>
          <w:tcPr>
            <w:tcW w:w="4743" w:type="dxa"/>
            <w:gridSpan w:val="4"/>
            <w:vAlign w:val="center"/>
          </w:tcPr>
          <w:p>
            <w:pPr>
              <w:rPr>
                <w:rFonts w:hint="default" w:ascii="宋体" w:hAnsi="宋体" w:eastAsia="宋体" w:cs="宋体"/>
                <w:sz w:val="24"/>
                <w:szCs w:val="24"/>
                <w:lang w:val="en-US" w:eastAsia="zh-CN" w:bidi="ar-SA"/>
              </w:rPr>
            </w:pPr>
            <w:r>
              <w:rPr>
                <w:rFonts w:hint="eastAsia" w:ascii="宋体" w:hAnsi="宋体" w:eastAsia="宋体" w:cs="宋体"/>
                <w:sz w:val="24"/>
                <w:szCs w:val="24"/>
              </w:rPr>
              <w:t>市中心医院康巴什部</w:t>
            </w:r>
            <w:r>
              <w:rPr>
                <w:rFonts w:hint="eastAsia" w:ascii="宋体" w:hAnsi="宋体" w:eastAsia="宋体" w:cs="宋体"/>
                <w:sz w:val="24"/>
                <w:szCs w:val="24"/>
                <w:lang w:val="en-US" w:eastAsia="zh-CN"/>
              </w:rPr>
              <w:t>及东胜部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865"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拟申请的单一来源供应商</w:t>
            </w:r>
          </w:p>
        </w:tc>
        <w:tc>
          <w:tcPr>
            <w:tcW w:w="4743" w:type="dxa"/>
            <w:gridSpan w:val="4"/>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华东医为科技有限公司</w:t>
            </w:r>
          </w:p>
        </w:tc>
      </w:tr>
    </w:tbl>
    <w:p>
      <w:pPr>
        <w:jc w:val="left"/>
        <w:rPr>
          <w:rFonts w:hint="eastAsia" w:ascii="宋体" w:hAnsi="宋体"/>
          <w:bCs/>
          <w:kern w:val="44"/>
          <w:sz w:val="24"/>
          <w:szCs w:val="24"/>
          <w:lang w:val="zh-CN"/>
        </w:rPr>
      </w:pPr>
    </w:p>
    <w:p>
      <w:pPr>
        <w:numPr>
          <w:ilvl w:val="0"/>
          <w:numId w:val="4"/>
        </w:numPr>
        <w:spacing w:line="360" w:lineRule="auto"/>
        <w:jc w:val="left"/>
        <w:rPr>
          <w:rFonts w:hint="eastAsia" w:hAnsi="宋体"/>
          <w:sz w:val="24"/>
          <w:szCs w:val="24"/>
        </w:rPr>
      </w:pPr>
      <w:r>
        <w:rPr>
          <w:rFonts w:hint="eastAsia" w:hAnsi="宋体"/>
          <w:sz w:val="24"/>
          <w:szCs w:val="24"/>
        </w:rPr>
        <w:t>技术标准与要求：</w:t>
      </w:r>
    </w:p>
    <w:p>
      <w:pPr>
        <w:numPr>
          <w:ilvl w:val="0"/>
          <w:numId w:val="0"/>
        </w:numPr>
        <w:spacing w:line="360" w:lineRule="auto"/>
        <w:jc w:val="left"/>
        <w:rPr>
          <w:rFonts w:hint="eastAsia" w:hAnsi="宋体"/>
          <w:sz w:val="24"/>
          <w:szCs w:val="24"/>
        </w:rPr>
      </w:pPr>
      <w:bookmarkStart w:id="0" w:name="_Toc104974655"/>
      <w:bookmarkStart w:id="1" w:name="_Toc104974681"/>
      <w:bookmarkStart w:id="2" w:name="_Toc109222133"/>
      <w:r>
        <w:rPr>
          <w:rFonts w:hint="eastAsia" w:hAnsi="宋体"/>
          <w:sz w:val="24"/>
          <w:szCs w:val="24"/>
        </w:rPr>
        <w:t>技术参数部分</w:t>
      </w:r>
      <w:bookmarkEnd w:id="0"/>
      <w:bookmarkEnd w:id="1"/>
      <w:bookmarkEnd w:id="2"/>
    </w:p>
    <w:p>
      <w:pPr>
        <w:numPr>
          <w:ilvl w:val="0"/>
          <w:numId w:val="0"/>
        </w:numPr>
        <w:spacing w:line="360" w:lineRule="auto"/>
        <w:jc w:val="left"/>
        <w:rPr>
          <w:rFonts w:hint="eastAsia" w:hAnsi="宋体"/>
          <w:sz w:val="24"/>
          <w:szCs w:val="24"/>
        </w:rPr>
      </w:pPr>
      <w:bookmarkStart w:id="3" w:name="_Toc104974682"/>
      <w:bookmarkStart w:id="4" w:name="_Toc104974656"/>
      <w:bookmarkStart w:id="5" w:name="_Toc109222134"/>
      <w:r>
        <w:rPr>
          <w:rFonts w:hint="eastAsia" w:hAnsi="宋体"/>
          <w:sz w:val="24"/>
          <w:szCs w:val="24"/>
        </w:rPr>
        <w:t>建设背景</w:t>
      </w:r>
      <w:bookmarkEnd w:id="3"/>
      <w:bookmarkEnd w:id="4"/>
      <w:bookmarkEnd w:id="5"/>
    </w:p>
    <w:p>
      <w:pPr>
        <w:numPr>
          <w:ilvl w:val="0"/>
          <w:numId w:val="0"/>
        </w:numPr>
        <w:spacing w:line="360" w:lineRule="auto"/>
        <w:jc w:val="left"/>
        <w:rPr>
          <w:rFonts w:hint="eastAsia" w:hAnsi="宋体"/>
          <w:sz w:val="24"/>
          <w:szCs w:val="24"/>
        </w:rPr>
      </w:pPr>
      <w:r>
        <w:rPr>
          <w:rFonts w:hint="eastAsia" w:hAnsi="宋体"/>
          <w:sz w:val="24"/>
          <w:szCs w:val="24"/>
        </w:rPr>
        <w:t>随着国家医疗保障局发布《区域点数法总额预算和按病种分值付费试点工作方案的 通知》，27个省（市、自治区）共 71 个城市列入试点城市,正式拉开了我国医保基于大数据的病种分值付费改革的帷幕，随着DIP付费改革试点工作的进一步推进，各地市医疗机构对于DIP付费试点工作的需求愈加迫切，医院对DIP分组的需要已经显而易见。</w:t>
      </w:r>
    </w:p>
    <w:p>
      <w:pPr>
        <w:numPr>
          <w:ilvl w:val="0"/>
          <w:numId w:val="0"/>
        </w:numPr>
        <w:spacing w:line="360" w:lineRule="auto"/>
        <w:jc w:val="left"/>
        <w:rPr>
          <w:rFonts w:hint="eastAsia" w:hAnsi="宋体"/>
          <w:sz w:val="24"/>
          <w:szCs w:val="24"/>
        </w:rPr>
      </w:pPr>
      <w:bookmarkStart w:id="6" w:name="_Toc104974683"/>
      <w:bookmarkStart w:id="7" w:name="_Toc104974657"/>
      <w:bookmarkStart w:id="8" w:name="_Toc109222135"/>
      <w:r>
        <w:rPr>
          <w:rFonts w:hint="eastAsia" w:hAnsi="宋体"/>
          <w:sz w:val="24"/>
          <w:szCs w:val="24"/>
        </w:rPr>
        <w:t>建设原则</w:t>
      </w:r>
      <w:bookmarkEnd w:id="6"/>
      <w:bookmarkEnd w:id="7"/>
      <w:bookmarkEnd w:id="8"/>
    </w:p>
    <w:p>
      <w:pPr>
        <w:numPr>
          <w:ilvl w:val="0"/>
          <w:numId w:val="0"/>
        </w:numPr>
        <w:spacing w:line="360" w:lineRule="auto"/>
        <w:jc w:val="left"/>
        <w:rPr>
          <w:rFonts w:hint="eastAsia" w:hAnsi="宋体"/>
          <w:sz w:val="24"/>
          <w:szCs w:val="24"/>
        </w:rPr>
      </w:pPr>
      <w:r>
        <w:rPr>
          <w:rFonts w:hint="eastAsia" w:hAnsi="宋体"/>
          <w:sz w:val="24"/>
          <w:szCs w:val="24"/>
        </w:rPr>
        <w:t>为确保医院信息系统项目的建设成功与可持续发展，在系统的建设与技术方案设计时需要遵循如下的原则：</w:t>
      </w:r>
    </w:p>
    <w:p>
      <w:pPr>
        <w:numPr>
          <w:ilvl w:val="0"/>
          <w:numId w:val="0"/>
        </w:numPr>
        <w:spacing w:line="360" w:lineRule="auto"/>
        <w:jc w:val="left"/>
        <w:rPr>
          <w:rFonts w:hint="eastAsia" w:hAnsi="宋体"/>
          <w:sz w:val="24"/>
          <w:szCs w:val="24"/>
        </w:rPr>
      </w:pPr>
      <w:r>
        <w:rPr>
          <w:rFonts w:hint="eastAsia" w:hAnsi="宋体"/>
          <w:sz w:val="24"/>
          <w:szCs w:val="24"/>
        </w:rPr>
        <w:t>统一设计原则</w:t>
      </w:r>
    </w:p>
    <w:p>
      <w:pPr>
        <w:numPr>
          <w:ilvl w:val="0"/>
          <w:numId w:val="0"/>
        </w:numPr>
        <w:spacing w:line="360" w:lineRule="auto"/>
        <w:jc w:val="left"/>
        <w:rPr>
          <w:rFonts w:hint="eastAsia" w:hAnsi="宋体"/>
          <w:sz w:val="24"/>
          <w:szCs w:val="24"/>
        </w:rPr>
      </w:pPr>
      <w:r>
        <w:rPr>
          <w:rFonts w:hint="eastAsia" w:hAnsi="宋体"/>
          <w:sz w:val="24"/>
          <w:szCs w:val="24"/>
        </w:rPr>
        <w:t>统筹规划和统一设计系统结构，尤其是应用系统建设结构、数据模型结构、数据存储结构以及系统扩展规划等内容，均需从全局出发、从长远的角度考虑。</w:t>
      </w:r>
    </w:p>
    <w:p>
      <w:pPr>
        <w:numPr>
          <w:ilvl w:val="0"/>
          <w:numId w:val="0"/>
        </w:numPr>
        <w:spacing w:line="360" w:lineRule="auto"/>
        <w:jc w:val="left"/>
        <w:rPr>
          <w:rFonts w:hint="eastAsia" w:hAnsi="宋体"/>
          <w:sz w:val="24"/>
          <w:szCs w:val="24"/>
        </w:rPr>
      </w:pPr>
      <w:r>
        <w:rPr>
          <w:rFonts w:hint="eastAsia" w:hAnsi="宋体"/>
          <w:sz w:val="24"/>
          <w:szCs w:val="24"/>
        </w:rPr>
        <w:t>先进性原则</w:t>
      </w:r>
    </w:p>
    <w:p>
      <w:pPr>
        <w:numPr>
          <w:ilvl w:val="0"/>
          <w:numId w:val="0"/>
        </w:numPr>
        <w:spacing w:line="360" w:lineRule="auto"/>
        <w:jc w:val="left"/>
        <w:rPr>
          <w:rFonts w:hint="eastAsia" w:hAnsi="宋体"/>
          <w:sz w:val="24"/>
          <w:szCs w:val="24"/>
        </w:rPr>
      </w:pPr>
      <w:r>
        <w:rPr>
          <w:rFonts w:hint="eastAsia" w:hAnsi="宋体"/>
          <w:sz w:val="24"/>
          <w:szCs w:val="24"/>
        </w:rPr>
        <w:t>系统构成必须采用成熟、具有国内先进水平，并符合国际发展趋势的技术、软件产品和设备。在设计过程中充分依照国际上的规范、标准，借鉴国内外目前成熟的主流网络和综合信息系统的体系结构，以保证系统具有较长的生命力和扩展能力。保证先进性的同时还要保证技术的稳定、安全性。</w:t>
      </w:r>
    </w:p>
    <w:p>
      <w:pPr>
        <w:numPr>
          <w:ilvl w:val="0"/>
          <w:numId w:val="0"/>
        </w:numPr>
        <w:spacing w:line="360" w:lineRule="auto"/>
        <w:jc w:val="left"/>
        <w:rPr>
          <w:rFonts w:hint="eastAsia" w:hAnsi="宋体"/>
          <w:sz w:val="24"/>
          <w:szCs w:val="24"/>
        </w:rPr>
      </w:pPr>
      <w:r>
        <w:rPr>
          <w:rFonts w:hint="eastAsia" w:hAnsi="宋体"/>
          <w:sz w:val="24"/>
          <w:szCs w:val="24"/>
        </w:rPr>
        <w:t>高可靠/高安全性原则</w:t>
      </w:r>
    </w:p>
    <w:p>
      <w:pPr>
        <w:numPr>
          <w:ilvl w:val="0"/>
          <w:numId w:val="0"/>
        </w:numPr>
        <w:spacing w:line="360" w:lineRule="auto"/>
        <w:jc w:val="left"/>
        <w:rPr>
          <w:rFonts w:hint="eastAsia" w:hAnsi="宋体"/>
          <w:sz w:val="24"/>
          <w:szCs w:val="24"/>
        </w:rPr>
      </w:pPr>
      <w:r>
        <w:rPr>
          <w:rFonts w:hint="eastAsia" w:hAnsi="宋体"/>
          <w:sz w:val="24"/>
          <w:szCs w:val="24"/>
        </w:rPr>
        <w:t>系统设计和数据架构设计中充分考虑系统的安全和可靠。</w:t>
      </w:r>
    </w:p>
    <w:p>
      <w:pPr>
        <w:numPr>
          <w:ilvl w:val="0"/>
          <w:numId w:val="0"/>
        </w:numPr>
        <w:spacing w:line="360" w:lineRule="auto"/>
        <w:jc w:val="left"/>
        <w:rPr>
          <w:rFonts w:hint="eastAsia" w:hAnsi="宋体"/>
          <w:sz w:val="24"/>
          <w:szCs w:val="24"/>
        </w:rPr>
      </w:pPr>
      <w:r>
        <w:rPr>
          <w:rFonts w:hint="eastAsia" w:hAnsi="宋体"/>
          <w:sz w:val="24"/>
          <w:szCs w:val="24"/>
        </w:rPr>
        <w:t>标准化原则</w:t>
      </w:r>
    </w:p>
    <w:p>
      <w:pPr>
        <w:numPr>
          <w:ilvl w:val="0"/>
          <w:numId w:val="0"/>
        </w:numPr>
        <w:spacing w:line="360" w:lineRule="auto"/>
        <w:jc w:val="left"/>
        <w:rPr>
          <w:rFonts w:hint="eastAsia" w:hAnsi="宋体"/>
          <w:sz w:val="24"/>
          <w:szCs w:val="24"/>
        </w:rPr>
      </w:pPr>
      <w:r>
        <w:rPr>
          <w:rFonts w:hint="eastAsia" w:hAnsi="宋体"/>
          <w:sz w:val="24"/>
          <w:szCs w:val="24"/>
        </w:rPr>
        <w:t>系统各项技术遵循国际标准、国家标准、行业和相关规范。</w:t>
      </w:r>
    </w:p>
    <w:p>
      <w:pPr>
        <w:numPr>
          <w:ilvl w:val="0"/>
          <w:numId w:val="0"/>
        </w:numPr>
        <w:spacing w:line="360" w:lineRule="auto"/>
        <w:jc w:val="left"/>
        <w:rPr>
          <w:rFonts w:hint="eastAsia" w:hAnsi="宋体"/>
          <w:sz w:val="24"/>
          <w:szCs w:val="24"/>
        </w:rPr>
      </w:pPr>
      <w:r>
        <w:rPr>
          <w:rFonts w:hint="eastAsia" w:hAnsi="宋体"/>
          <w:sz w:val="24"/>
          <w:szCs w:val="24"/>
        </w:rPr>
        <w:t>成熟性原则</w:t>
      </w:r>
    </w:p>
    <w:p>
      <w:pPr>
        <w:numPr>
          <w:ilvl w:val="0"/>
          <w:numId w:val="0"/>
        </w:numPr>
        <w:spacing w:line="360" w:lineRule="auto"/>
        <w:jc w:val="left"/>
        <w:rPr>
          <w:rFonts w:hint="eastAsia" w:hAnsi="宋体"/>
          <w:sz w:val="24"/>
          <w:szCs w:val="24"/>
        </w:rPr>
      </w:pPr>
      <w:r>
        <w:rPr>
          <w:rFonts w:hint="eastAsia" w:hAnsi="宋体"/>
          <w:sz w:val="24"/>
          <w:szCs w:val="24"/>
        </w:rPr>
        <w:t>系统要采用主流、成熟的体系架构来构建，实现跨平台的应用。</w:t>
      </w:r>
    </w:p>
    <w:p>
      <w:pPr>
        <w:numPr>
          <w:ilvl w:val="0"/>
          <w:numId w:val="0"/>
        </w:numPr>
        <w:spacing w:line="360" w:lineRule="auto"/>
        <w:jc w:val="left"/>
        <w:rPr>
          <w:rFonts w:hint="eastAsia" w:hAnsi="宋体"/>
          <w:sz w:val="24"/>
          <w:szCs w:val="24"/>
        </w:rPr>
      </w:pPr>
      <w:r>
        <w:rPr>
          <w:rFonts w:hint="eastAsia" w:hAnsi="宋体"/>
          <w:sz w:val="24"/>
          <w:szCs w:val="24"/>
        </w:rPr>
        <w:t>适用性原则</w:t>
      </w:r>
    </w:p>
    <w:p>
      <w:pPr>
        <w:numPr>
          <w:ilvl w:val="0"/>
          <w:numId w:val="0"/>
        </w:numPr>
        <w:spacing w:line="360" w:lineRule="auto"/>
        <w:jc w:val="left"/>
        <w:rPr>
          <w:rFonts w:hint="eastAsia" w:hAnsi="宋体"/>
          <w:sz w:val="24"/>
          <w:szCs w:val="24"/>
        </w:rPr>
      </w:pPr>
      <w:r>
        <w:rPr>
          <w:rFonts w:hint="eastAsia" w:hAnsi="宋体"/>
          <w:sz w:val="24"/>
          <w:szCs w:val="24"/>
        </w:rPr>
        <w:t>保护已有资源，急用先行，在满足应用需求的前提下，尽量降低建设成本。</w:t>
      </w:r>
    </w:p>
    <w:p>
      <w:pPr>
        <w:numPr>
          <w:ilvl w:val="0"/>
          <w:numId w:val="0"/>
        </w:numPr>
        <w:spacing w:line="360" w:lineRule="auto"/>
        <w:jc w:val="left"/>
        <w:rPr>
          <w:rFonts w:hint="eastAsia" w:hAnsi="宋体"/>
          <w:sz w:val="24"/>
          <w:szCs w:val="24"/>
        </w:rPr>
      </w:pPr>
      <w:r>
        <w:rPr>
          <w:rFonts w:hint="eastAsia" w:hAnsi="宋体"/>
          <w:sz w:val="24"/>
          <w:szCs w:val="24"/>
        </w:rPr>
        <w:t>可扩展性原则</w:t>
      </w:r>
    </w:p>
    <w:p>
      <w:pPr>
        <w:numPr>
          <w:ilvl w:val="0"/>
          <w:numId w:val="0"/>
        </w:numPr>
        <w:spacing w:line="360" w:lineRule="auto"/>
        <w:jc w:val="left"/>
        <w:rPr>
          <w:rFonts w:hint="eastAsia" w:hAnsi="宋体"/>
          <w:sz w:val="24"/>
          <w:szCs w:val="24"/>
        </w:rPr>
      </w:pPr>
      <w:r>
        <w:rPr>
          <w:rFonts w:hint="eastAsia" w:hAnsi="宋体"/>
          <w:sz w:val="24"/>
          <w:szCs w:val="24"/>
        </w:rPr>
        <w:t>信息系统设计要考虑到业务未来发展的需要，尽可能设计得简明，降低各功能模块耦合度，并充分考虑兼容性。系统能够支持对多种格式数据的存储。</w:t>
      </w:r>
    </w:p>
    <w:p>
      <w:pPr>
        <w:numPr>
          <w:ilvl w:val="0"/>
          <w:numId w:val="0"/>
        </w:numPr>
        <w:spacing w:line="360" w:lineRule="auto"/>
        <w:jc w:val="left"/>
        <w:rPr>
          <w:rFonts w:hint="eastAsia" w:hAnsi="宋体"/>
          <w:sz w:val="24"/>
          <w:szCs w:val="24"/>
        </w:rPr>
      </w:pPr>
      <w:bookmarkStart w:id="9" w:name="_Toc104974684"/>
      <w:bookmarkStart w:id="10" w:name="_Toc104974658"/>
      <w:bookmarkStart w:id="11" w:name="_Toc109222136"/>
      <w:r>
        <w:rPr>
          <w:rFonts w:hint="eastAsia" w:hAnsi="宋体"/>
          <w:sz w:val="24"/>
          <w:szCs w:val="24"/>
        </w:rPr>
        <w:t>建设要求</w:t>
      </w:r>
      <w:bookmarkEnd w:id="9"/>
      <w:bookmarkEnd w:id="10"/>
      <w:bookmarkEnd w:id="11"/>
    </w:p>
    <w:p>
      <w:pPr>
        <w:numPr>
          <w:ilvl w:val="0"/>
          <w:numId w:val="0"/>
        </w:numPr>
        <w:spacing w:line="360" w:lineRule="auto"/>
        <w:jc w:val="left"/>
        <w:rPr>
          <w:rFonts w:hint="eastAsia" w:hAnsi="宋体"/>
          <w:sz w:val="24"/>
          <w:szCs w:val="24"/>
        </w:rPr>
      </w:pPr>
      <w:bookmarkStart w:id="12" w:name="_Toc104974659"/>
      <w:bookmarkStart w:id="13" w:name="_Toc109222137"/>
      <w:bookmarkStart w:id="14" w:name="_Toc104974685"/>
      <w:r>
        <w:rPr>
          <w:rFonts w:hint="eastAsia" w:hAnsi="宋体"/>
          <w:sz w:val="24"/>
          <w:szCs w:val="24"/>
        </w:rPr>
        <w:t>总体设计要求</w:t>
      </w:r>
      <w:bookmarkEnd w:id="12"/>
      <w:bookmarkEnd w:id="13"/>
      <w:bookmarkEnd w:id="14"/>
    </w:p>
    <w:p>
      <w:pPr>
        <w:numPr>
          <w:ilvl w:val="0"/>
          <w:numId w:val="0"/>
        </w:numPr>
        <w:spacing w:line="360" w:lineRule="auto"/>
        <w:jc w:val="left"/>
        <w:rPr>
          <w:rFonts w:hint="eastAsia" w:hAnsi="宋体"/>
          <w:sz w:val="24"/>
          <w:szCs w:val="24"/>
        </w:rPr>
      </w:pPr>
      <w:r>
        <w:rPr>
          <w:rFonts w:hint="eastAsia" w:hAnsi="宋体"/>
          <w:sz w:val="24"/>
          <w:szCs w:val="24"/>
        </w:rPr>
        <w:t xml:space="preserve">按DIP 分值付费的医保支付制度的改革对医院传统经济管理模式必将产生冲击， 基于 DIP的新型医院管理工具和方法应运而生，围绕DIP医保付费流程进行监控，并在“总额控制、结余留用”的前提下，通过优化资源配置、提高基金使用效率，为下一步开展区域总额管理、实行按病种付费打下基础。 </w:t>
      </w:r>
    </w:p>
    <w:p>
      <w:pPr>
        <w:numPr>
          <w:ilvl w:val="0"/>
          <w:numId w:val="0"/>
        </w:numPr>
        <w:spacing w:line="360" w:lineRule="auto"/>
        <w:jc w:val="left"/>
        <w:rPr>
          <w:rFonts w:hint="eastAsia" w:hAnsi="宋体"/>
          <w:sz w:val="24"/>
          <w:szCs w:val="24"/>
        </w:rPr>
      </w:pPr>
      <w:bookmarkStart w:id="15" w:name="_Toc109222138"/>
      <w:bookmarkStart w:id="16" w:name="_Toc104974686"/>
      <w:bookmarkStart w:id="17" w:name="_Toc104974660"/>
      <w:r>
        <w:rPr>
          <w:rFonts w:hint="eastAsia" w:hAnsi="宋体"/>
          <w:sz w:val="24"/>
          <w:szCs w:val="24"/>
        </w:rPr>
        <w:t>标准规范要求</w:t>
      </w:r>
      <w:bookmarkEnd w:id="15"/>
      <w:bookmarkEnd w:id="16"/>
      <w:bookmarkEnd w:id="17"/>
    </w:p>
    <w:p>
      <w:pPr>
        <w:numPr>
          <w:ilvl w:val="0"/>
          <w:numId w:val="0"/>
        </w:numPr>
        <w:spacing w:line="360" w:lineRule="auto"/>
        <w:jc w:val="left"/>
        <w:rPr>
          <w:rFonts w:hint="eastAsia" w:hAnsi="宋体"/>
          <w:sz w:val="24"/>
          <w:szCs w:val="24"/>
        </w:rPr>
      </w:pPr>
      <w:r>
        <w:rPr>
          <w:rFonts w:hint="eastAsia" w:hAnsi="宋体"/>
          <w:sz w:val="24"/>
          <w:szCs w:val="24"/>
        </w:rPr>
        <w:t>系统建设过程中应至少遵循如下国际标准、国家标准、行业和相关规范：</w:t>
      </w:r>
    </w:p>
    <w:p>
      <w:pPr>
        <w:numPr>
          <w:ilvl w:val="0"/>
          <w:numId w:val="0"/>
        </w:numPr>
        <w:spacing w:line="360" w:lineRule="auto"/>
        <w:jc w:val="left"/>
        <w:rPr>
          <w:rFonts w:hint="eastAsia" w:hAnsi="宋体"/>
          <w:sz w:val="24"/>
          <w:szCs w:val="24"/>
        </w:rPr>
      </w:pPr>
      <w:r>
        <w:rPr>
          <w:rFonts w:hint="eastAsia" w:hAnsi="宋体"/>
          <w:sz w:val="24"/>
          <w:szCs w:val="24"/>
        </w:rPr>
        <w:t>支持TCP/IP协议、HTTP、HTTPS</w:t>
      </w:r>
    </w:p>
    <w:p>
      <w:pPr>
        <w:numPr>
          <w:ilvl w:val="0"/>
          <w:numId w:val="0"/>
        </w:numPr>
        <w:spacing w:line="360" w:lineRule="auto"/>
        <w:jc w:val="left"/>
        <w:rPr>
          <w:rFonts w:hint="eastAsia" w:hAnsi="宋体"/>
          <w:sz w:val="24"/>
          <w:szCs w:val="24"/>
        </w:rPr>
      </w:pPr>
      <w:r>
        <w:rPr>
          <w:rFonts w:hint="eastAsia" w:hAnsi="宋体"/>
          <w:sz w:val="24"/>
          <w:szCs w:val="24"/>
        </w:rPr>
        <w:t>对数据库的访问支持ODBC，COM和JDBC；</w:t>
      </w:r>
    </w:p>
    <w:p>
      <w:pPr>
        <w:numPr>
          <w:ilvl w:val="0"/>
          <w:numId w:val="0"/>
        </w:numPr>
        <w:spacing w:line="360" w:lineRule="auto"/>
        <w:jc w:val="left"/>
        <w:rPr>
          <w:rFonts w:hint="eastAsia" w:hAnsi="宋体"/>
          <w:sz w:val="24"/>
          <w:szCs w:val="24"/>
        </w:rPr>
      </w:pPr>
      <w:r>
        <w:rPr>
          <w:rFonts w:hint="eastAsia" w:hAnsi="宋体"/>
          <w:sz w:val="24"/>
          <w:szCs w:val="24"/>
        </w:rPr>
        <w:t>支持XML、Web Service；</w:t>
      </w:r>
    </w:p>
    <w:p>
      <w:pPr>
        <w:numPr>
          <w:ilvl w:val="0"/>
          <w:numId w:val="0"/>
        </w:numPr>
        <w:spacing w:line="360" w:lineRule="auto"/>
        <w:jc w:val="left"/>
        <w:rPr>
          <w:rFonts w:hint="eastAsia" w:hAnsi="宋体"/>
          <w:sz w:val="24"/>
          <w:szCs w:val="24"/>
        </w:rPr>
      </w:pPr>
      <w:r>
        <w:rPr>
          <w:rFonts w:hint="eastAsia" w:hAnsi="宋体"/>
          <w:sz w:val="24"/>
          <w:szCs w:val="24"/>
        </w:rPr>
        <w:t>支持HL7、SNOMED、ASTM协议等国际信息交换标准；</w:t>
      </w:r>
    </w:p>
    <w:p>
      <w:pPr>
        <w:numPr>
          <w:ilvl w:val="0"/>
          <w:numId w:val="0"/>
        </w:numPr>
        <w:spacing w:line="360" w:lineRule="auto"/>
        <w:jc w:val="left"/>
        <w:rPr>
          <w:rFonts w:hint="eastAsia" w:hAnsi="宋体"/>
          <w:sz w:val="24"/>
          <w:szCs w:val="24"/>
        </w:rPr>
      </w:pPr>
      <w:r>
        <w:rPr>
          <w:rFonts w:hint="eastAsia" w:hAnsi="宋体"/>
          <w:sz w:val="24"/>
          <w:szCs w:val="24"/>
        </w:rPr>
        <w:t>支持DICOM标准</w:t>
      </w:r>
    </w:p>
    <w:p>
      <w:pPr>
        <w:numPr>
          <w:ilvl w:val="0"/>
          <w:numId w:val="0"/>
        </w:numPr>
        <w:spacing w:line="360" w:lineRule="auto"/>
        <w:jc w:val="left"/>
        <w:rPr>
          <w:rFonts w:hint="eastAsia" w:hAnsi="宋体"/>
          <w:sz w:val="24"/>
          <w:szCs w:val="24"/>
        </w:rPr>
      </w:pPr>
      <w:r>
        <w:rPr>
          <w:rFonts w:hint="eastAsia" w:hAnsi="宋体"/>
          <w:sz w:val="24"/>
          <w:szCs w:val="24"/>
        </w:rPr>
        <w:t>支持UNICODE编码</w:t>
      </w:r>
    </w:p>
    <w:p>
      <w:pPr>
        <w:numPr>
          <w:ilvl w:val="0"/>
          <w:numId w:val="0"/>
        </w:numPr>
        <w:spacing w:line="360" w:lineRule="auto"/>
        <w:jc w:val="left"/>
        <w:rPr>
          <w:rFonts w:hint="eastAsia" w:hAnsi="宋体"/>
          <w:sz w:val="24"/>
          <w:szCs w:val="24"/>
        </w:rPr>
      </w:pPr>
      <w:r>
        <w:rPr>
          <w:rFonts w:hint="eastAsia" w:hAnsi="宋体"/>
          <w:sz w:val="24"/>
          <w:szCs w:val="24"/>
        </w:rPr>
        <w:t>疾病诊断分类ICD-10支持国标版、国家临床版1.1、国家临床版2.0、北京临床版、医保版2.0</w:t>
      </w:r>
    </w:p>
    <w:p>
      <w:pPr>
        <w:numPr>
          <w:ilvl w:val="0"/>
          <w:numId w:val="0"/>
        </w:numPr>
        <w:spacing w:line="360" w:lineRule="auto"/>
        <w:jc w:val="left"/>
        <w:rPr>
          <w:rFonts w:hint="eastAsia" w:hAnsi="宋体"/>
          <w:sz w:val="24"/>
          <w:szCs w:val="24"/>
        </w:rPr>
      </w:pPr>
      <w:r>
        <w:rPr>
          <w:rFonts w:hint="eastAsia" w:hAnsi="宋体"/>
          <w:sz w:val="24"/>
          <w:szCs w:val="24"/>
        </w:rPr>
        <w:t>手术/操作ICD-9支持北京临床版、国家临床版1.1、国家临床版2.0等版本、医保版2.0</w:t>
      </w:r>
    </w:p>
    <w:p>
      <w:pPr>
        <w:numPr>
          <w:ilvl w:val="0"/>
          <w:numId w:val="0"/>
        </w:numPr>
        <w:spacing w:line="360" w:lineRule="auto"/>
        <w:jc w:val="left"/>
        <w:rPr>
          <w:rFonts w:hint="eastAsia" w:hAnsi="宋体"/>
          <w:sz w:val="24"/>
          <w:szCs w:val="24"/>
        </w:rPr>
      </w:pPr>
      <w:r>
        <w:rPr>
          <w:rFonts w:hint="eastAsia" w:hAnsi="宋体"/>
          <w:sz w:val="24"/>
          <w:szCs w:val="24"/>
        </w:rPr>
        <w:t>支持病案首页国家2012版</w:t>
      </w:r>
    </w:p>
    <w:p>
      <w:pPr>
        <w:numPr>
          <w:ilvl w:val="0"/>
          <w:numId w:val="0"/>
        </w:numPr>
        <w:spacing w:line="360" w:lineRule="auto"/>
        <w:jc w:val="left"/>
        <w:rPr>
          <w:rFonts w:hint="eastAsia" w:hAnsi="宋体"/>
          <w:sz w:val="24"/>
          <w:szCs w:val="24"/>
        </w:rPr>
      </w:pPr>
      <w:r>
        <w:rPr>
          <w:rFonts w:hint="eastAsia" w:hAnsi="宋体"/>
          <w:sz w:val="24"/>
          <w:szCs w:val="24"/>
        </w:rPr>
        <w:t>支持国家医保局DIP分组方案及本地化</w:t>
      </w:r>
    </w:p>
    <w:p>
      <w:pPr>
        <w:numPr>
          <w:ilvl w:val="0"/>
          <w:numId w:val="0"/>
        </w:numPr>
        <w:spacing w:line="360" w:lineRule="auto"/>
        <w:jc w:val="left"/>
        <w:rPr>
          <w:rFonts w:hint="eastAsia" w:hAnsi="宋体"/>
          <w:sz w:val="24"/>
          <w:szCs w:val="24"/>
        </w:rPr>
      </w:pPr>
      <w:bookmarkStart w:id="18" w:name="_Toc109222139"/>
      <w:bookmarkStart w:id="19" w:name="_Toc104974687"/>
      <w:bookmarkStart w:id="20" w:name="_Toc104974661"/>
      <w:r>
        <w:rPr>
          <w:rFonts w:hint="eastAsia" w:hAnsi="宋体"/>
          <w:sz w:val="24"/>
          <w:szCs w:val="24"/>
        </w:rPr>
        <w:t>技术路线要求</w:t>
      </w:r>
      <w:bookmarkEnd w:id="18"/>
      <w:bookmarkEnd w:id="19"/>
      <w:bookmarkEnd w:id="20"/>
    </w:p>
    <w:p>
      <w:pPr>
        <w:numPr>
          <w:ilvl w:val="0"/>
          <w:numId w:val="0"/>
        </w:numPr>
        <w:spacing w:line="360" w:lineRule="auto"/>
        <w:jc w:val="left"/>
        <w:rPr>
          <w:rFonts w:hint="eastAsia" w:hAnsi="宋体"/>
          <w:sz w:val="24"/>
          <w:szCs w:val="24"/>
        </w:rPr>
      </w:pPr>
      <w:r>
        <w:rPr>
          <w:rFonts w:hint="eastAsia" w:hAnsi="宋体"/>
          <w:sz w:val="24"/>
          <w:szCs w:val="24"/>
        </w:rPr>
        <w:t>建设采用SOA的技术架构体系设计，符合SOA技术架构设计要求。</w:t>
      </w:r>
    </w:p>
    <w:p>
      <w:pPr>
        <w:numPr>
          <w:ilvl w:val="0"/>
          <w:numId w:val="0"/>
        </w:numPr>
        <w:spacing w:line="360" w:lineRule="auto"/>
        <w:jc w:val="left"/>
        <w:rPr>
          <w:rFonts w:hint="eastAsia"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支持信息安全技术：医院信息化需要引入技术手段来保障信息系统的安全性，如身份认证、受限数据访问、数字签名、数据留痕、数据日志等等。</w:t>
      </w:r>
    </w:p>
    <w:p>
      <w:pPr>
        <w:numPr>
          <w:ilvl w:val="0"/>
          <w:numId w:val="0"/>
        </w:numPr>
        <w:spacing w:line="360" w:lineRule="auto"/>
        <w:jc w:val="left"/>
        <w:rPr>
          <w:rFonts w:hint="eastAsia" w:hAnsi="宋体"/>
          <w:sz w:val="24"/>
          <w:szCs w:val="24"/>
        </w:rPr>
      </w:pPr>
      <w:r>
        <w:rPr>
          <w:rFonts w:hint="eastAsia" w:hAnsi="宋体"/>
          <w:sz w:val="24"/>
          <w:szCs w:val="24"/>
        </w:rPr>
        <w:t>2)</w:t>
      </w:r>
      <w:r>
        <w:rPr>
          <w:rFonts w:hint="eastAsia" w:hAnsi="宋体"/>
          <w:sz w:val="24"/>
          <w:szCs w:val="24"/>
        </w:rPr>
        <w:tab/>
      </w:r>
      <w:r>
        <w:rPr>
          <w:rFonts w:hint="eastAsia" w:hAnsi="宋体"/>
          <w:sz w:val="24"/>
          <w:szCs w:val="24"/>
        </w:rPr>
        <w:t>支持跨数据库平台数据存取技术：在物理存储层系统应该具有良好的跨数据库平台技术，这样可以容易的实现系统之间的数据交互，更易于实现DIP分组所需数据的采集。需要兼容：Oracle、IBM DB2、Microsoft SQL Server、cache、MySQL等数据库。</w:t>
      </w:r>
    </w:p>
    <w:p>
      <w:pPr>
        <w:numPr>
          <w:ilvl w:val="0"/>
          <w:numId w:val="0"/>
        </w:numPr>
        <w:spacing w:line="360" w:lineRule="auto"/>
        <w:jc w:val="left"/>
        <w:rPr>
          <w:rFonts w:hint="eastAsia" w:hAnsi="宋体"/>
          <w:sz w:val="24"/>
          <w:szCs w:val="24"/>
        </w:rPr>
      </w:pPr>
      <w:r>
        <w:rPr>
          <w:rFonts w:hint="eastAsia" w:hAnsi="宋体"/>
          <w:sz w:val="24"/>
          <w:szCs w:val="24"/>
        </w:rPr>
        <w:t>3）支持生成并操作接口服务、安全登录服务等一系列服务，对数据统计、报表、评价模型等业务逻辑进行处理</w:t>
      </w:r>
    </w:p>
    <w:p>
      <w:pPr>
        <w:numPr>
          <w:ilvl w:val="0"/>
          <w:numId w:val="0"/>
        </w:numPr>
        <w:spacing w:line="360" w:lineRule="auto"/>
        <w:jc w:val="left"/>
        <w:rPr>
          <w:rFonts w:hint="eastAsia" w:hAnsi="宋体"/>
          <w:sz w:val="24"/>
          <w:szCs w:val="24"/>
        </w:rPr>
      </w:pPr>
      <w:r>
        <w:rPr>
          <w:rFonts w:hint="eastAsia" w:hAnsi="宋体"/>
          <w:sz w:val="24"/>
          <w:szCs w:val="24"/>
        </w:rPr>
        <w:t>4）支持跨平台展现技术：采用Java技术，同时支持同一种信息可以在不同的展现平台上进行展示。</w:t>
      </w:r>
    </w:p>
    <w:p>
      <w:pPr>
        <w:numPr>
          <w:ilvl w:val="0"/>
          <w:numId w:val="0"/>
        </w:numPr>
        <w:spacing w:line="360" w:lineRule="auto"/>
        <w:jc w:val="left"/>
        <w:rPr>
          <w:rFonts w:hint="eastAsia" w:hAnsi="宋体"/>
          <w:sz w:val="24"/>
          <w:szCs w:val="24"/>
        </w:rPr>
      </w:pPr>
      <w:r>
        <w:rPr>
          <w:rFonts w:hint="eastAsia" w:hAnsi="宋体"/>
          <w:sz w:val="24"/>
          <w:szCs w:val="24"/>
        </w:rPr>
        <w:t>5）数据库服务器可支持UNIX、Linux、Windows等系统，应用服务器应能支持UNIX、Linux、Windows等系统。</w:t>
      </w:r>
    </w:p>
    <w:p>
      <w:pPr>
        <w:numPr>
          <w:ilvl w:val="0"/>
          <w:numId w:val="0"/>
        </w:numPr>
        <w:spacing w:line="360" w:lineRule="auto"/>
        <w:jc w:val="left"/>
        <w:rPr>
          <w:rFonts w:hint="eastAsia" w:hAnsi="宋体"/>
          <w:sz w:val="24"/>
          <w:szCs w:val="24"/>
        </w:rPr>
      </w:pPr>
      <w:r>
        <w:rPr>
          <w:rFonts w:hint="eastAsia" w:hAnsi="宋体"/>
          <w:sz w:val="24"/>
          <w:szCs w:val="24"/>
        </w:rPr>
        <w:t>6）支持Elasticsearch大数据检索技术</w:t>
      </w:r>
    </w:p>
    <w:p>
      <w:pPr>
        <w:numPr>
          <w:ilvl w:val="0"/>
          <w:numId w:val="0"/>
        </w:numPr>
        <w:spacing w:line="360" w:lineRule="auto"/>
        <w:jc w:val="left"/>
        <w:rPr>
          <w:rFonts w:hint="eastAsia" w:hAnsi="宋体"/>
          <w:sz w:val="24"/>
          <w:szCs w:val="24"/>
        </w:rPr>
      </w:pPr>
      <w:bookmarkStart w:id="21" w:name="_Toc104974662"/>
      <w:bookmarkStart w:id="22" w:name="_Toc109222140"/>
      <w:bookmarkStart w:id="23" w:name="_Toc104974688"/>
      <w:r>
        <w:rPr>
          <w:rFonts w:hint="eastAsia" w:hAnsi="宋体"/>
          <w:sz w:val="24"/>
          <w:szCs w:val="24"/>
        </w:rPr>
        <w:t>架构设计要求</w:t>
      </w:r>
      <w:bookmarkEnd w:id="21"/>
      <w:bookmarkEnd w:id="22"/>
      <w:bookmarkEnd w:id="23"/>
    </w:p>
    <w:p>
      <w:pPr>
        <w:numPr>
          <w:ilvl w:val="0"/>
          <w:numId w:val="0"/>
        </w:numPr>
        <w:spacing w:line="360" w:lineRule="auto"/>
        <w:jc w:val="left"/>
        <w:rPr>
          <w:rFonts w:hint="eastAsia" w:hAnsi="宋体"/>
          <w:sz w:val="24"/>
          <w:szCs w:val="24"/>
        </w:rPr>
      </w:pPr>
      <w:r>
        <w:rPr>
          <w:rFonts w:hint="eastAsia" w:hAnsi="宋体"/>
          <w:sz w:val="24"/>
          <w:szCs w:val="24"/>
        </w:rPr>
        <w:t>应用架构的设计关系到对多种系统质量属性的满足，我院要求应用系统的架构满足以下要求：</w:t>
      </w:r>
    </w:p>
    <w:p>
      <w:pPr>
        <w:numPr>
          <w:ilvl w:val="0"/>
          <w:numId w:val="0"/>
        </w:numPr>
        <w:spacing w:line="360" w:lineRule="auto"/>
        <w:jc w:val="left"/>
        <w:rPr>
          <w:rFonts w:hint="eastAsia"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基于SOA架构模型，B/S应用架构；支持浏览器架构。</w:t>
      </w:r>
    </w:p>
    <w:p>
      <w:pPr>
        <w:numPr>
          <w:ilvl w:val="0"/>
          <w:numId w:val="0"/>
        </w:numPr>
        <w:spacing w:line="360" w:lineRule="auto"/>
        <w:jc w:val="left"/>
        <w:rPr>
          <w:rFonts w:hint="eastAsia" w:hAnsi="宋体"/>
          <w:sz w:val="24"/>
          <w:szCs w:val="24"/>
        </w:rPr>
      </w:pPr>
      <w:r>
        <w:rPr>
          <w:rFonts w:hint="eastAsia" w:hAnsi="宋体"/>
          <w:sz w:val="24"/>
          <w:szCs w:val="24"/>
        </w:rPr>
        <w:t>2)</w:t>
      </w:r>
      <w:r>
        <w:rPr>
          <w:rFonts w:hint="eastAsia" w:hAnsi="宋体"/>
          <w:sz w:val="24"/>
          <w:szCs w:val="24"/>
        </w:rPr>
        <w:tab/>
      </w:r>
      <w:r>
        <w:rPr>
          <w:rFonts w:hint="eastAsia" w:hAnsi="宋体"/>
          <w:sz w:val="24"/>
          <w:szCs w:val="24"/>
        </w:rPr>
        <w:t>基于组件的设计，用户可以根据需要按角色组合和配置组件</w:t>
      </w:r>
    </w:p>
    <w:p>
      <w:pPr>
        <w:numPr>
          <w:ilvl w:val="0"/>
          <w:numId w:val="0"/>
        </w:numPr>
        <w:spacing w:line="360" w:lineRule="auto"/>
        <w:jc w:val="left"/>
        <w:rPr>
          <w:rFonts w:hint="eastAsia" w:hAnsi="宋体"/>
          <w:sz w:val="24"/>
          <w:szCs w:val="24"/>
        </w:rPr>
      </w:pPr>
      <w:r>
        <w:rPr>
          <w:rFonts w:hint="eastAsia" w:hAnsi="宋体"/>
          <w:sz w:val="24"/>
          <w:szCs w:val="24"/>
        </w:rPr>
        <w:t>3)</w:t>
      </w:r>
      <w:r>
        <w:rPr>
          <w:rFonts w:hint="eastAsia" w:hAnsi="宋体"/>
          <w:sz w:val="24"/>
          <w:szCs w:val="24"/>
        </w:rPr>
        <w:tab/>
      </w:r>
      <w:r>
        <w:rPr>
          <w:rFonts w:hint="eastAsia" w:hAnsi="宋体"/>
          <w:sz w:val="24"/>
          <w:szCs w:val="24"/>
        </w:rPr>
        <w:t>具有用户可以管理工作流管理功能</w:t>
      </w:r>
    </w:p>
    <w:p>
      <w:pPr>
        <w:numPr>
          <w:ilvl w:val="0"/>
          <w:numId w:val="0"/>
        </w:numPr>
        <w:spacing w:line="360" w:lineRule="auto"/>
        <w:jc w:val="left"/>
        <w:rPr>
          <w:rFonts w:hint="eastAsia" w:hAnsi="宋体"/>
          <w:sz w:val="24"/>
          <w:szCs w:val="24"/>
        </w:rPr>
      </w:pPr>
      <w:r>
        <w:rPr>
          <w:rFonts w:hint="eastAsia" w:hAnsi="宋体"/>
          <w:sz w:val="24"/>
          <w:szCs w:val="24"/>
        </w:rPr>
        <w:t>4)</w:t>
      </w:r>
      <w:r>
        <w:rPr>
          <w:rFonts w:hint="eastAsia" w:hAnsi="宋体"/>
          <w:sz w:val="24"/>
          <w:szCs w:val="24"/>
        </w:rPr>
        <w:tab/>
      </w:r>
      <w:r>
        <w:rPr>
          <w:rFonts w:hint="eastAsia" w:hAnsi="宋体"/>
          <w:sz w:val="24"/>
          <w:szCs w:val="24"/>
        </w:rPr>
        <w:t>具有用户可以配置的规则引擎</w:t>
      </w:r>
    </w:p>
    <w:p>
      <w:pPr>
        <w:numPr>
          <w:ilvl w:val="0"/>
          <w:numId w:val="0"/>
        </w:numPr>
        <w:spacing w:line="360" w:lineRule="auto"/>
        <w:jc w:val="left"/>
        <w:rPr>
          <w:rFonts w:hint="eastAsia" w:hAnsi="宋体"/>
          <w:sz w:val="24"/>
          <w:szCs w:val="24"/>
        </w:rPr>
      </w:pPr>
      <w:r>
        <w:rPr>
          <w:rFonts w:hint="eastAsia" w:hAnsi="宋体"/>
          <w:sz w:val="24"/>
          <w:szCs w:val="24"/>
        </w:rPr>
        <w:t>5)</w:t>
      </w:r>
      <w:r>
        <w:rPr>
          <w:rFonts w:hint="eastAsia" w:hAnsi="宋体"/>
          <w:sz w:val="24"/>
          <w:szCs w:val="24"/>
        </w:rPr>
        <w:tab/>
      </w:r>
      <w:r>
        <w:rPr>
          <w:rFonts w:hint="eastAsia" w:hAnsi="宋体"/>
          <w:sz w:val="24"/>
          <w:szCs w:val="24"/>
        </w:rPr>
        <w:t>具有抽象的底层数据模型</w:t>
      </w:r>
    </w:p>
    <w:p>
      <w:pPr>
        <w:numPr>
          <w:ilvl w:val="0"/>
          <w:numId w:val="0"/>
        </w:numPr>
        <w:spacing w:line="360" w:lineRule="auto"/>
        <w:jc w:val="left"/>
        <w:rPr>
          <w:rFonts w:hint="eastAsia" w:hAnsi="宋体"/>
          <w:sz w:val="24"/>
          <w:szCs w:val="24"/>
        </w:rPr>
      </w:pPr>
      <w:r>
        <w:rPr>
          <w:rFonts w:hint="eastAsia" w:hAnsi="宋体"/>
          <w:sz w:val="24"/>
          <w:szCs w:val="24"/>
        </w:rPr>
        <w:t>6)</w:t>
      </w:r>
      <w:r>
        <w:rPr>
          <w:rFonts w:hint="eastAsia" w:hAnsi="宋体"/>
          <w:sz w:val="24"/>
          <w:szCs w:val="24"/>
        </w:rPr>
        <w:tab/>
      </w:r>
      <w:r>
        <w:rPr>
          <w:rFonts w:hint="eastAsia" w:hAnsi="宋体"/>
          <w:sz w:val="24"/>
          <w:szCs w:val="24"/>
        </w:rPr>
        <w:t>具有事件/消息响应机制</w:t>
      </w:r>
    </w:p>
    <w:p>
      <w:pPr>
        <w:numPr>
          <w:ilvl w:val="0"/>
          <w:numId w:val="0"/>
        </w:numPr>
        <w:spacing w:line="360" w:lineRule="auto"/>
        <w:jc w:val="left"/>
        <w:rPr>
          <w:rFonts w:hint="eastAsia" w:hAnsi="宋体"/>
          <w:sz w:val="24"/>
          <w:szCs w:val="24"/>
        </w:rPr>
      </w:pPr>
      <w:r>
        <w:rPr>
          <w:rFonts w:hint="eastAsia" w:hAnsi="宋体"/>
          <w:sz w:val="24"/>
          <w:szCs w:val="24"/>
        </w:rPr>
        <w:t>7)</w:t>
      </w:r>
      <w:r>
        <w:rPr>
          <w:rFonts w:hint="eastAsia" w:hAnsi="宋体"/>
          <w:sz w:val="24"/>
          <w:szCs w:val="24"/>
        </w:rPr>
        <w:tab/>
      </w:r>
      <w:r>
        <w:rPr>
          <w:rFonts w:hint="eastAsia" w:hAnsi="宋体"/>
          <w:sz w:val="24"/>
          <w:szCs w:val="24"/>
        </w:rPr>
        <w:t>具有良好的安全机制完成用户的认证、授权和数据保密。</w:t>
      </w:r>
    </w:p>
    <w:p>
      <w:pPr>
        <w:numPr>
          <w:ilvl w:val="0"/>
          <w:numId w:val="0"/>
        </w:numPr>
        <w:spacing w:line="360" w:lineRule="auto"/>
        <w:jc w:val="left"/>
        <w:rPr>
          <w:rFonts w:hint="eastAsia" w:hAnsi="宋体"/>
          <w:sz w:val="24"/>
          <w:szCs w:val="24"/>
        </w:rPr>
      </w:pPr>
      <w:r>
        <w:rPr>
          <w:rFonts w:hint="eastAsia" w:hAnsi="宋体"/>
          <w:sz w:val="24"/>
          <w:szCs w:val="24"/>
        </w:rPr>
        <w:t>8） 支持Unix、Linux 、Windows操作系统</w:t>
      </w:r>
    </w:p>
    <w:p>
      <w:pPr>
        <w:numPr>
          <w:ilvl w:val="0"/>
          <w:numId w:val="0"/>
        </w:numPr>
        <w:spacing w:line="360" w:lineRule="auto"/>
        <w:jc w:val="left"/>
        <w:rPr>
          <w:rFonts w:hint="eastAsia" w:hAnsi="宋体"/>
          <w:sz w:val="24"/>
          <w:szCs w:val="24"/>
        </w:rPr>
      </w:pPr>
      <w:bookmarkStart w:id="24" w:name="_Toc109222141"/>
      <w:bookmarkStart w:id="25" w:name="_Toc104974663"/>
      <w:bookmarkStart w:id="26" w:name="_Toc104974689"/>
      <w:r>
        <w:rPr>
          <w:rFonts w:hint="eastAsia" w:hAnsi="宋体"/>
          <w:sz w:val="24"/>
          <w:szCs w:val="24"/>
        </w:rPr>
        <w:t>操作系统要求</w:t>
      </w:r>
      <w:bookmarkEnd w:id="24"/>
      <w:bookmarkEnd w:id="25"/>
      <w:bookmarkEnd w:id="26"/>
    </w:p>
    <w:p>
      <w:pPr>
        <w:numPr>
          <w:ilvl w:val="0"/>
          <w:numId w:val="0"/>
        </w:numPr>
        <w:spacing w:line="360" w:lineRule="auto"/>
        <w:jc w:val="left"/>
        <w:rPr>
          <w:rFonts w:hint="eastAsia" w:hAnsi="宋体"/>
          <w:sz w:val="24"/>
          <w:szCs w:val="24"/>
        </w:rPr>
      </w:pPr>
      <w:r>
        <w:rPr>
          <w:rFonts w:hint="eastAsia" w:hAnsi="宋体"/>
          <w:sz w:val="24"/>
          <w:szCs w:val="24"/>
        </w:rPr>
        <w:t>软件产品支持在标准的Unix、Linux、Windows等主流操作系统上部署。</w:t>
      </w:r>
    </w:p>
    <w:p>
      <w:pPr>
        <w:numPr>
          <w:ilvl w:val="0"/>
          <w:numId w:val="0"/>
        </w:numPr>
        <w:spacing w:line="360" w:lineRule="auto"/>
        <w:jc w:val="left"/>
        <w:rPr>
          <w:rFonts w:hint="eastAsia" w:hAnsi="宋体"/>
          <w:sz w:val="24"/>
          <w:szCs w:val="24"/>
        </w:rPr>
      </w:pPr>
      <w:bookmarkStart w:id="27" w:name="_Toc109222142"/>
      <w:bookmarkStart w:id="28" w:name="_Toc104974664"/>
      <w:bookmarkStart w:id="29" w:name="_Toc104974690"/>
      <w:r>
        <w:rPr>
          <w:rFonts w:hint="eastAsia" w:hAnsi="宋体"/>
          <w:sz w:val="24"/>
          <w:szCs w:val="24"/>
        </w:rPr>
        <w:t>数据库要求</w:t>
      </w:r>
      <w:bookmarkEnd w:id="27"/>
      <w:bookmarkEnd w:id="28"/>
      <w:bookmarkEnd w:id="29"/>
    </w:p>
    <w:p>
      <w:pPr>
        <w:numPr>
          <w:ilvl w:val="0"/>
          <w:numId w:val="0"/>
        </w:numPr>
        <w:spacing w:line="360" w:lineRule="auto"/>
        <w:jc w:val="left"/>
        <w:rPr>
          <w:rFonts w:hint="eastAsia"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采用主流关系数据库ORACLE数据库；</w:t>
      </w:r>
    </w:p>
    <w:p>
      <w:pPr>
        <w:numPr>
          <w:ilvl w:val="0"/>
          <w:numId w:val="0"/>
        </w:numPr>
        <w:spacing w:line="360" w:lineRule="auto"/>
        <w:jc w:val="left"/>
        <w:rPr>
          <w:rFonts w:hint="eastAsia" w:hAnsi="宋体"/>
          <w:sz w:val="24"/>
          <w:szCs w:val="24"/>
        </w:rPr>
      </w:pPr>
      <w:r>
        <w:rPr>
          <w:rFonts w:hint="eastAsia" w:hAnsi="宋体"/>
          <w:sz w:val="24"/>
          <w:szCs w:val="24"/>
        </w:rPr>
        <w:t>2)</w:t>
      </w:r>
      <w:r>
        <w:rPr>
          <w:rFonts w:hint="eastAsia" w:hAnsi="宋体"/>
          <w:sz w:val="24"/>
          <w:szCs w:val="24"/>
        </w:rPr>
        <w:tab/>
      </w:r>
      <w:r>
        <w:rPr>
          <w:rFonts w:hint="eastAsia" w:hAnsi="宋体"/>
          <w:sz w:val="24"/>
          <w:szCs w:val="24"/>
        </w:rPr>
        <w:t>具有抽象的底层数据模型</w:t>
      </w:r>
    </w:p>
    <w:p>
      <w:pPr>
        <w:numPr>
          <w:ilvl w:val="0"/>
          <w:numId w:val="0"/>
        </w:numPr>
        <w:spacing w:line="360" w:lineRule="auto"/>
        <w:jc w:val="left"/>
        <w:rPr>
          <w:rFonts w:hint="eastAsia" w:hAnsi="宋体"/>
          <w:sz w:val="24"/>
          <w:szCs w:val="24"/>
        </w:rPr>
      </w:pPr>
      <w:r>
        <w:rPr>
          <w:rFonts w:hint="eastAsia" w:hAnsi="宋体"/>
          <w:sz w:val="24"/>
          <w:szCs w:val="24"/>
        </w:rPr>
        <w:t>3)</w:t>
      </w:r>
      <w:r>
        <w:rPr>
          <w:rFonts w:hint="eastAsia" w:hAnsi="宋体"/>
          <w:sz w:val="24"/>
          <w:szCs w:val="24"/>
        </w:rPr>
        <w:tab/>
      </w:r>
      <w:r>
        <w:rPr>
          <w:rFonts w:hint="eastAsia" w:hAnsi="宋体"/>
          <w:sz w:val="24"/>
          <w:szCs w:val="24"/>
        </w:rPr>
        <w:t>支持集成多种数据库，如Oracle、IBM DB2、SQL Server、Cache、MySQL等</w:t>
      </w:r>
    </w:p>
    <w:p>
      <w:pPr>
        <w:numPr>
          <w:ilvl w:val="0"/>
          <w:numId w:val="0"/>
        </w:numPr>
        <w:spacing w:line="360" w:lineRule="auto"/>
        <w:jc w:val="left"/>
        <w:rPr>
          <w:rFonts w:hint="eastAsia" w:hAnsi="宋体"/>
          <w:sz w:val="24"/>
          <w:szCs w:val="24"/>
        </w:rPr>
      </w:pPr>
      <w:r>
        <w:rPr>
          <w:rFonts w:hint="eastAsia" w:hAnsi="宋体"/>
          <w:sz w:val="24"/>
          <w:szCs w:val="24"/>
        </w:rPr>
        <w:t>4)</w:t>
      </w:r>
      <w:r>
        <w:rPr>
          <w:rFonts w:hint="eastAsia" w:hAnsi="宋体"/>
          <w:sz w:val="24"/>
          <w:szCs w:val="24"/>
        </w:rPr>
        <w:tab/>
      </w:r>
      <w:r>
        <w:rPr>
          <w:rFonts w:hint="eastAsia" w:hAnsi="宋体"/>
          <w:sz w:val="24"/>
          <w:szCs w:val="24"/>
        </w:rPr>
        <w:t>支持关系模型，支持分布式处理；</w:t>
      </w:r>
    </w:p>
    <w:p>
      <w:pPr>
        <w:numPr>
          <w:ilvl w:val="0"/>
          <w:numId w:val="0"/>
        </w:numPr>
        <w:spacing w:line="360" w:lineRule="auto"/>
        <w:jc w:val="left"/>
        <w:rPr>
          <w:rFonts w:hint="eastAsia" w:hAnsi="宋体"/>
          <w:sz w:val="24"/>
          <w:szCs w:val="24"/>
        </w:rPr>
      </w:pPr>
      <w:r>
        <w:rPr>
          <w:rFonts w:hint="eastAsia" w:hAnsi="宋体"/>
          <w:sz w:val="24"/>
          <w:szCs w:val="24"/>
        </w:rPr>
        <w:t>5)</w:t>
      </w:r>
      <w:r>
        <w:rPr>
          <w:rFonts w:hint="eastAsia" w:hAnsi="宋体"/>
          <w:sz w:val="24"/>
          <w:szCs w:val="24"/>
        </w:rPr>
        <w:tab/>
      </w:r>
      <w:r>
        <w:rPr>
          <w:rFonts w:hint="eastAsia" w:hAnsi="宋体"/>
          <w:sz w:val="24"/>
          <w:szCs w:val="24"/>
        </w:rPr>
        <w:t>支持主流的网络协议（TCP/IP、IPX/SPX、NETBIOS及混合协议等）；</w:t>
      </w:r>
    </w:p>
    <w:p>
      <w:pPr>
        <w:numPr>
          <w:ilvl w:val="0"/>
          <w:numId w:val="0"/>
        </w:numPr>
        <w:spacing w:line="360" w:lineRule="auto"/>
        <w:jc w:val="left"/>
        <w:rPr>
          <w:rFonts w:hint="eastAsia" w:hAnsi="宋体"/>
          <w:sz w:val="24"/>
          <w:szCs w:val="24"/>
        </w:rPr>
      </w:pPr>
      <w:r>
        <w:rPr>
          <w:rFonts w:hint="eastAsia" w:hAnsi="宋体"/>
          <w:sz w:val="24"/>
          <w:szCs w:val="24"/>
        </w:rPr>
        <w:t>6)</w:t>
      </w:r>
      <w:r>
        <w:rPr>
          <w:rFonts w:hint="eastAsia" w:hAnsi="宋体"/>
          <w:sz w:val="24"/>
          <w:szCs w:val="24"/>
        </w:rPr>
        <w:tab/>
      </w:r>
      <w:r>
        <w:rPr>
          <w:rFonts w:hint="eastAsia" w:hAnsi="宋体"/>
          <w:sz w:val="24"/>
          <w:szCs w:val="24"/>
        </w:rPr>
        <w:t>具有开放性，支持异种数据库的访问，包括实现对文件数据和桌面数据库的访问、实现对大型异种数据库的访问、实现和高级语言互连的能力等；</w:t>
      </w:r>
    </w:p>
    <w:p>
      <w:pPr>
        <w:numPr>
          <w:ilvl w:val="0"/>
          <w:numId w:val="0"/>
        </w:numPr>
        <w:spacing w:line="360" w:lineRule="auto"/>
        <w:jc w:val="left"/>
        <w:rPr>
          <w:rFonts w:hint="eastAsia" w:hAnsi="宋体"/>
          <w:sz w:val="24"/>
          <w:szCs w:val="24"/>
        </w:rPr>
      </w:pPr>
      <w:r>
        <w:rPr>
          <w:rFonts w:hint="eastAsia" w:hAnsi="宋体"/>
          <w:sz w:val="24"/>
          <w:szCs w:val="24"/>
        </w:rPr>
        <w:t>7） 对数据库的访问支持ODBC、COM和JDBC</w:t>
      </w:r>
    </w:p>
    <w:p>
      <w:pPr>
        <w:numPr>
          <w:ilvl w:val="0"/>
          <w:numId w:val="0"/>
        </w:numPr>
        <w:spacing w:line="360" w:lineRule="auto"/>
        <w:jc w:val="left"/>
        <w:rPr>
          <w:rFonts w:hint="eastAsia" w:hAnsi="宋体"/>
          <w:sz w:val="24"/>
          <w:szCs w:val="24"/>
        </w:rPr>
      </w:pPr>
      <w:bookmarkStart w:id="30" w:name="_Toc109222143"/>
      <w:bookmarkStart w:id="31" w:name="_Toc104974665"/>
      <w:bookmarkStart w:id="32" w:name="_Toc104974691"/>
      <w:r>
        <w:rPr>
          <w:rFonts w:hint="eastAsia" w:hAnsi="宋体"/>
          <w:sz w:val="24"/>
          <w:szCs w:val="24"/>
        </w:rPr>
        <w:t>数据传输及接口要求</w:t>
      </w:r>
      <w:bookmarkEnd w:id="30"/>
      <w:bookmarkEnd w:id="31"/>
      <w:bookmarkEnd w:id="32"/>
    </w:p>
    <w:p>
      <w:pPr>
        <w:numPr>
          <w:ilvl w:val="0"/>
          <w:numId w:val="0"/>
        </w:numPr>
        <w:spacing w:line="360" w:lineRule="auto"/>
        <w:jc w:val="left"/>
        <w:rPr>
          <w:rFonts w:hint="eastAsia"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对数据的采集、交换支持XML、HL7等交换标准及非标准的自定义字串</w:t>
      </w:r>
    </w:p>
    <w:p>
      <w:pPr>
        <w:numPr>
          <w:ilvl w:val="0"/>
          <w:numId w:val="0"/>
        </w:numPr>
        <w:spacing w:line="360" w:lineRule="auto"/>
        <w:jc w:val="left"/>
        <w:rPr>
          <w:rFonts w:hint="eastAsia" w:hAnsi="宋体"/>
          <w:sz w:val="24"/>
          <w:szCs w:val="24"/>
        </w:rPr>
      </w:pPr>
      <w:r>
        <w:rPr>
          <w:rFonts w:hint="eastAsia" w:hAnsi="宋体"/>
          <w:sz w:val="24"/>
          <w:szCs w:val="24"/>
        </w:rPr>
        <w:t>2)</w:t>
      </w:r>
      <w:r>
        <w:rPr>
          <w:rFonts w:hint="eastAsia" w:hAnsi="宋体"/>
          <w:sz w:val="24"/>
          <w:szCs w:val="24"/>
        </w:rPr>
        <w:tab/>
      </w:r>
      <w:r>
        <w:rPr>
          <w:rFonts w:hint="eastAsia" w:hAnsi="宋体"/>
          <w:sz w:val="24"/>
          <w:szCs w:val="24"/>
        </w:rPr>
        <w:t>支持数据库视图、XML、Web Service、File等多种数据交换方式，同时提供配置的方式，自定义数据交换格式</w:t>
      </w:r>
    </w:p>
    <w:p>
      <w:pPr>
        <w:numPr>
          <w:ilvl w:val="0"/>
          <w:numId w:val="0"/>
        </w:numPr>
        <w:spacing w:line="360" w:lineRule="auto"/>
        <w:jc w:val="left"/>
        <w:rPr>
          <w:rFonts w:hint="eastAsia" w:hAnsi="宋体"/>
          <w:sz w:val="24"/>
          <w:szCs w:val="24"/>
        </w:rPr>
      </w:pPr>
      <w:r>
        <w:rPr>
          <w:rFonts w:hint="eastAsia" w:hAnsi="宋体"/>
          <w:sz w:val="24"/>
          <w:szCs w:val="24"/>
        </w:rPr>
        <w:t>3)</w:t>
      </w:r>
      <w:r>
        <w:rPr>
          <w:rFonts w:hint="eastAsia" w:hAnsi="宋体"/>
          <w:sz w:val="24"/>
          <w:szCs w:val="24"/>
        </w:rPr>
        <w:tab/>
      </w:r>
      <w:r>
        <w:rPr>
          <w:rFonts w:hint="eastAsia" w:hAnsi="宋体"/>
          <w:sz w:val="24"/>
          <w:szCs w:val="24"/>
        </w:rPr>
        <w:t>支持双向数据交换，保证数据上行与下行的安全、可靠</w:t>
      </w:r>
    </w:p>
    <w:p>
      <w:pPr>
        <w:numPr>
          <w:ilvl w:val="0"/>
          <w:numId w:val="0"/>
        </w:numPr>
        <w:spacing w:line="360" w:lineRule="auto"/>
        <w:jc w:val="left"/>
        <w:rPr>
          <w:rFonts w:hint="eastAsia" w:hAnsi="宋体"/>
          <w:sz w:val="24"/>
          <w:szCs w:val="24"/>
        </w:rPr>
      </w:pPr>
      <w:r>
        <w:rPr>
          <w:rFonts w:hint="eastAsia" w:hAnsi="宋体"/>
          <w:sz w:val="24"/>
          <w:szCs w:val="24"/>
        </w:rPr>
        <w:t>4)</w:t>
      </w:r>
      <w:r>
        <w:rPr>
          <w:rFonts w:hint="eastAsia" w:hAnsi="宋体"/>
          <w:sz w:val="24"/>
          <w:szCs w:val="24"/>
        </w:rPr>
        <w:tab/>
      </w:r>
      <w:r>
        <w:rPr>
          <w:rFonts w:hint="eastAsia" w:hAnsi="宋体"/>
          <w:sz w:val="24"/>
          <w:szCs w:val="24"/>
        </w:rPr>
        <w:t>支持批量和个案实时的数据交换模式，同时支持增量采集</w:t>
      </w:r>
    </w:p>
    <w:p>
      <w:pPr>
        <w:numPr>
          <w:ilvl w:val="0"/>
          <w:numId w:val="0"/>
        </w:numPr>
        <w:spacing w:line="360" w:lineRule="auto"/>
        <w:jc w:val="left"/>
        <w:rPr>
          <w:rFonts w:hint="eastAsia" w:hAnsi="宋体"/>
          <w:sz w:val="24"/>
          <w:szCs w:val="24"/>
        </w:rPr>
      </w:pPr>
      <w:r>
        <w:rPr>
          <w:rFonts w:hint="eastAsia" w:hAnsi="宋体"/>
          <w:sz w:val="24"/>
          <w:szCs w:val="24"/>
        </w:rPr>
        <w:t>5)</w:t>
      </w:r>
      <w:r>
        <w:rPr>
          <w:rFonts w:hint="eastAsia" w:hAnsi="宋体"/>
          <w:sz w:val="24"/>
          <w:szCs w:val="24"/>
        </w:rPr>
        <w:tab/>
      </w:r>
      <w:r>
        <w:rPr>
          <w:rFonts w:hint="eastAsia" w:hAnsi="宋体"/>
          <w:sz w:val="24"/>
          <w:szCs w:val="24"/>
        </w:rPr>
        <w:t>支持主流的网络协议（TCP/IP、IPX/SPX、NETBIOS及混合协议等）、HTTP、HTTPS；</w:t>
      </w:r>
    </w:p>
    <w:p>
      <w:pPr>
        <w:numPr>
          <w:ilvl w:val="0"/>
          <w:numId w:val="0"/>
        </w:numPr>
        <w:spacing w:line="360" w:lineRule="auto"/>
        <w:jc w:val="left"/>
        <w:rPr>
          <w:rFonts w:hint="eastAsia" w:hAnsi="宋体"/>
          <w:sz w:val="24"/>
          <w:szCs w:val="24"/>
        </w:rPr>
      </w:pPr>
      <w:r>
        <w:rPr>
          <w:rFonts w:hint="eastAsia" w:hAnsi="宋体"/>
          <w:sz w:val="24"/>
          <w:szCs w:val="24"/>
        </w:rPr>
        <w:t>6)</w:t>
      </w:r>
      <w:r>
        <w:rPr>
          <w:rFonts w:hint="eastAsia" w:hAnsi="宋体"/>
          <w:sz w:val="24"/>
          <w:szCs w:val="24"/>
        </w:rPr>
        <w:tab/>
      </w:r>
      <w:r>
        <w:rPr>
          <w:rFonts w:hint="eastAsia" w:hAnsi="宋体"/>
          <w:sz w:val="24"/>
          <w:szCs w:val="24"/>
        </w:rPr>
        <w:t>支持实时和非实时的数据交换</w:t>
      </w:r>
    </w:p>
    <w:p>
      <w:pPr>
        <w:numPr>
          <w:ilvl w:val="0"/>
          <w:numId w:val="0"/>
        </w:numPr>
        <w:spacing w:line="360" w:lineRule="auto"/>
        <w:jc w:val="left"/>
        <w:rPr>
          <w:rFonts w:hint="eastAsia" w:hAnsi="宋体"/>
          <w:sz w:val="24"/>
          <w:szCs w:val="24"/>
        </w:rPr>
      </w:pPr>
      <w:r>
        <w:rPr>
          <w:rFonts w:hint="eastAsia" w:hAnsi="宋体"/>
          <w:sz w:val="24"/>
          <w:szCs w:val="24"/>
        </w:rPr>
        <w:t>7） 数据接口支持灵活扩展</w:t>
      </w:r>
    </w:p>
    <w:p>
      <w:pPr>
        <w:numPr>
          <w:ilvl w:val="0"/>
          <w:numId w:val="0"/>
        </w:numPr>
        <w:spacing w:line="360" w:lineRule="auto"/>
        <w:jc w:val="left"/>
        <w:rPr>
          <w:rFonts w:hint="eastAsia" w:hAnsi="宋体"/>
          <w:sz w:val="24"/>
          <w:szCs w:val="24"/>
        </w:rPr>
      </w:pPr>
      <w:r>
        <w:rPr>
          <w:rFonts w:hint="eastAsia" w:hAnsi="宋体"/>
          <w:sz w:val="24"/>
          <w:szCs w:val="24"/>
        </w:rPr>
        <w:t>8） 支持同时从多个数据源并发采集数据</w:t>
      </w:r>
    </w:p>
    <w:p>
      <w:pPr>
        <w:numPr>
          <w:ilvl w:val="0"/>
          <w:numId w:val="0"/>
        </w:numPr>
        <w:spacing w:line="360" w:lineRule="auto"/>
        <w:jc w:val="left"/>
        <w:rPr>
          <w:rFonts w:hint="eastAsia" w:hAnsi="宋体"/>
          <w:sz w:val="24"/>
          <w:szCs w:val="24"/>
        </w:rPr>
      </w:pPr>
      <w:r>
        <w:rPr>
          <w:rFonts w:hint="eastAsia" w:hAnsi="宋体"/>
          <w:sz w:val="24"/>
          <w:szCs w:val="24"/>
        </w:rPr>
        <w:t>9） 数据采集和文件采集过程支持断点续传功能</w:t>
      </w:r>
    </w:p>
    <w:p>
      <w:pPr>
        <w:numPr>
          <w:ilvl w:val="0"/>
          <w:numId w:val="0"/>
        </w:numPr>
        <w:spacing w:line="360" w:lineRule="auto"/>
        <w:jc w:val="left"/>
        <w:rPr>
          <w:rFonts w:hint="eastAsia" w:hAnsi="宋体"/>
          <w:sz w:val="24"/>
          <w:szCs w:val="24"/>
        </w:rPr>
      </w:pPr>
      <w:bookmarkStart w:id="33" w:name="_Toc104974670"/>
      <w:bookmarkStart w:id="34" w:name="_Toc104974696"/>
      <w:bookmarkStart w:id="35" w:name="_Toc109222144"/>
      <w:r>
        <w:rPr>
          <w:rFonts w:hint="eastAsia" w:hAnsi="宋体"/>
          <w:sz w:val="24"/>
          <w:szCs w:val="24"/>
        </w:rPr>
        <w:t>DIP医保智能监测</w:t>
      </w:r>
      <w:bookmarkEnd w:id="33"/>
      <w:bookmarkEnd w:id="34"/>
      <w:bookmarkEnd w:id="35"/>
    </w:p>
    <w:p>
      <w:pPr>
        <w:numPr>
          <w:ilvl w:val="0"/>
          <w:numId w:val="0"/>
        </w:numPr>
        <w:spacing w:line="360" w:lineRule="auto"/>
        <w:jc w:val="left"/>
        <w:rPr>
          <w:rFonts w:hint="eastAsia" w:hAnsi="宋体"/>
          <w:sz w:val="24"/>
          <w:szCs w:val="24"/>
        </w:rPr>
      </w:pPr>
      <w:bookmarkStart w:id="36" w:name="_Toc109222145"/>
      <w:r>
        <w:rPr>
          <w:rFonts w:hint="eastAsia" w:hAnsi="宋体"/>
          <w:sz w:val="24"/>
          <w:szCs w:val="24"/>
        </w:rPr>
        <w:t>全院盈亏分析</w:t>
      </w:r>
      <w:bookmarkEnd w:id="36"/>
    </w:p>
    <w:p>
      <w:pPr>
        <w:numPr>
          <w:ilvl w:val="0"/>
          <w:numId w:val="0"/>
        </w:numPr>
        <w:spacing w:line="360" w:lineRule="auto"/>
        <w:jc w:val="left"/>
        <w:rPr>
          <w:rFonts w:hint="eastAsia" w:hAnsi="宋体"/>
          <w:sz w:val="24"/>
          <w:szCs w:val="24"/>
        </w:rPr>
      </w:pPr>
      <w:r>
        <w:rPr>
          <w:rFonts w:hint="eastAsia" w:hAnsi="宋体"/>
          <w:sz w:val="24"/>
          <w:szCs w:val="24"/>
        </w:rPr>
        <w:t>结合DIP付费标准，统计分析全院费用收支、结余、结余和亏损病例数、患者各类费用使用和构成等情况。</w:t>
      </w:r>
    </w:p>
    <w:p>
      <w:pPr>
        <w:numPr>
          <w:ilvl w:val="0"/>
          <w:numId w:val="0"/>
        </w:numPr>
        <w:spacing w:line="360" w:lineRule="auto"/>
        <w:jc w:val="left"/>
        <w:rPr>
          <w:rFonts w:hint="eastAsia" w:hAnsi="宋体"/>
          <w:sz w:val="24"/>
          <w:szCs w:val="24"/>
        </w:rPr>
      </w:pPr>
      <w:bookmarkStart w:id="37" w:name="_Toc109222146"/>
      <w:r>
        <w:rPr>
          <w:rFonts w:hint="eastAsia" w:hAnsi="宋体"/>
          <w:sz w:val="24"/>
          <w:szCs w:val="24"/>
        </w:rPr>
        <w:t>科室盈亏分析</w:t>
      </w:r>
      <w:bookmarkEnd w:id="37"/>
    </w:p>
    <w:p>
      <w:pPr>
        <w:numPr>
          <w:ilvl w:val="0"/>
          <w:numId w:val="0"/>
        </w:numPr>
        <w:spacing w:line="360" w:lineRule="auto"/>
        <w:jc w:val="left"/>
        <w:rPr>
          <w:rFonts w:hint="eastAsia" w:hAnsi="宋体"/>
          <w:sz w:val="24"/>
          <w:szCs w:val="24"/>
        </w:rPr>
      </w:pPr>
      <w:r>
        <w:rPr>
          <w:rFonts w:hint="eastAsia" w:hAnsi="宋体"/>
          <w:sz w:val="24"/>
          <w:szCs w:val="24"/>
        </w:rPr>
        <w:t>结合DIP付费标准，统计分析科室费用收支、结余、结余和亏损病例数、患者各类费用使用和构成等情况。</w:t>
      </w:r>
    </w:p>
    <w:p>
      <w:pPr>
        <w:numPr>
          <w:ilvl w:val="0"/>
          <w:numId w:val="0"/>
        </w:numPr>
        <w:spacing w:line="360" w:lineRule="auto"/>
        <w:jc w:val="left"/>
        <w:rPr>
          <w:rFonts w:hint="eastAsia" w:hAnsi="宋体"/>
          <w:sz w:val="24"/>
          <w:szCs w:val="24"/>
        </w:rPr>
      </w:pPr>
      <w:bookmarkStart w:id="38" w:name="_Toc109222147"/>
      <w:r>
        <w:rPr>
          <w:rFonts w:hint="eastAsia" w:hAnsi="宋体"/>
          <w:sz w:val="24"/>
          <w:szCs w:val="24"/>
        </w:rPr>
        <w:t>医生盈亏分析</w:t>
      </w:r>
      <w:bookmarkEnd w:id="38"/>
    </w:p>
    <w:p>
      <w:pPr>
        <w:numPr>
          <w:ilvl w:val="0"/>
          <w:numId w:val="0"/>
        </w:numPr>
        <w:spacing w:line="360" w:lineRule="auto"/>
        <w:jc w:val="left"/>
        <w:rPr>
          <w:rFonts w:hint="eastAsia" w:hAnsi="宋体"/>
          <w:sz w:val="24"/>
          <w:szCs w:val="24"/>
        </w:rPr>
      </w:pPr>
      <w:r>
        <w:rPr>
          <w:rFonts w:hint="eastAsia" w:hAnsi="宋体"/>
          <w:sz w:val="24"/>
          <w:szCs w:val="24"/>
        </w:rPr>
        <w:t>结合DIP付费标准，统计分析医生费用收支、结余、结余和亏损病例数、患者各类费用使用和构成等情况。</w:t>
      </w:r>
    </w:p>
    <w:p>
      <w:pPr>
        <w:numPr>
          <w:ilvl w:val="0"/>
          <w:numId w:val="0"/>
        </w:numPr>
        <w:spacing w:line="360" w:lineRule="auto"/>
        <w:jc w:val="left"/>
        <w:rPr>
          <w:rFonts w:hint="eastAsia" w:hAnsi="宋体"/>
          <w:sz w:val="24"/>
          <w:szCs w:val="24"/>
        </w:rPr>
      </w:pPr>
      <w:bookmarkStart w:id="39" w:name="_Toc109222148"/>
      <w:r>
        <w:rPr>
          <w:rFonts w:hint="eastAsia" w:hAnsi="宋体"/>
          <w:sz w:val="24"/>
          <w:szCs w:val="24"/>
        </w:rPr>
        <w:t>DIP盈亏分析</w:t>
      </w:r>
      <w:bookmarkEnd w:id="39"/>
    </w:p>
    <w:p>
      <w:pPr>
        <w:numPr>
          <w:ilvl w:val="0"/>
          <w:numId w:val="0"/>
        </w:numPr>
        <w:spacing w:line="360" w:lineRule="auto"/>
        <w:jc w:val="left"/>
        <w:rPr>
          <w:rFonts w:hint="eastAsia" w:hAnsi="宋体"/>
          <w:sz w:val="24"/>
          <w:szCs w:val="24"/>
        </w:rPr>
      </w:pPr>
      <w:r>
        <w:rPr>
          <w:rFonts w:hint="eastAsia" w:hAnsi="宋体"/>
          <w:sz w:val="24"/>
          <w:szCs w:val="24"/>
        </w:rPr>
        <w:t>结合DIP付费标准，统计分析DIP病种费用收支、结余和亏损病例数、患者各类费用使用和构成等情况。查询特定条件下的病例明细及其各自的结余和费用使用情况。</w:t>
      </w:r>
    </w:p>
    <w:p>
      <w:pPr>
        <w:numPr>
          <w:ilvl w:val="0"/>
          <w:numId w:val="0"/>
        </w:numPr>
        <w:spacing w:line="360" w:lineRule="auto"/>
        <w:jc w:val="left"/>
        <w:rPr>
          <w:rFonts w:hint="eastAsia" w:hAnsi="宋体"/>
          <w:sz w:val="24"/>
          <w:szCs w:val="24"/>
        </w:rPr>
      </w:pPr>
      <w:bookmarkStart w:id="40" w:name="_Toc109222149"/>
      <w:r>
        <w:rPr>
          <w:rFonts w:hint="eastAsia" w:hAnsi="宋体"/>
          <w:sz w:val="24"/>
          <w:szCs w:val="24"/>
        </w:rPr>
        <w:t>病例盈亏分析</w:t>
      </w:r>
      <w:bookmarkEnd w:id="40"/>
    </w:p>
    <w:p>
      <w:pPr>
        <w:numPr>
          <w:ilvl w:val="0"/>
          <w:numId w:val="0"/>
        </w:numPr>
        <w:spacing w:line="360" w:lineRule="auto"/>
        <w:jc w:val="left"/>
        <w:rPr>
          <w:rFonts w:hint="eastAsia" w:hAnsi="宋体"/>
          <w:sz w:val="24"/>
          <w:szCs w:val="24"/>
        </w:rPr>
      </w:pPr>
      <w:r>
        <w:rPr>
          <w:rFonts w:hint="eastAsia" w:hAnsi="宋体"/>
          <w:sz w:val="24"/>
          <w:szCs w:val="24"/>
        </w:rPr>
        <w:t>结合DIP付费标准，统计分析每一条病例的费用收支、结余和亏损情况、患者各类费用使用和构成等情况并对特定时间段内亏损病例、结余病例等各类病例数进行统计。</w:t>
      </w:r>
    </w:p>
    <w:p>
      <w:pPr>
        <w:numPr>
          <w:ilvl w:val="0"/>
          <w:numId w:val="0"/>
        </w:numPr>
        <w:spacing w:line="360" w:lineRule="auto"/>
        <w:jc w:val="left"/>
        <w:rPr>
          <w:rFonts w:hint="eastAsia" w:hAnsi="宋体"/>
          <w:sz w:val="24"/>
          <w:szCs w:val="24"/>
        </w:rPr>
      </w:pPr>
      <w:bookmarkStart w:id="41" w:name="_Toc109222150"/>
      <w:r>
        <w:rPr>
          <w:rFonts w:hint="eastAsia" w:hAnsi="宋体"/>
          <w:sz w:val="24"/>
          <w:szCs w:val="24"/>
        </w:rPr>
        <w:t>费用极值病例</w:t>
      </w:r>
      <w:bookmarkEnd w:id="41"/>
    </w:p>
    <w:p>
      <w:pPr>
        <w:numPr>
          <w:ilvl w:val="0"/>
          <w:numId w:val="0"/>
        </w:numPr>
        <w:spacing w:line="360" w:lineRule="auto"/>
        <w:jc w:val="left"/>
        <w:rPr>
          <w:rFonts w:hint="eastAsia" w:hAnsi="宋体"/>
          <w:sz w:val="24"/>
          <w:szCs w:val="24"/>
        </w:rPr>
      </w:pPr>
      <w:r>
        <w:rPr>
          <w:rFonts w:hint="eastAsia" w:hAnsi="宋体"/>
          <w:sz w:val="24"/>
          <w:szCs w:val="24"/>
        </w:rPr>
        <w:t>费用极值分析，筛选出费用极高或极低的病例，以便后续DIP付费后可以申请选择恰当的支付方式，避免产生损失。从医疗质量管理角度监测死亡病例情况，尤其是低风险组死亡病例。</w:t>
      </w:r>
    </w:p>
    <w:p>
      <w:pPr>
        <w:numPr>
          <w:ilvl w:val="0"/>
          <w:numId w:val="0"/>
        </w:numPr>
        <w:spacing w:line="360" w:lineRule="auto"/>
        <w:jc w:val="left"/>
        <w:rPr>
          <w:rFonts w:hint="eastAsia" w:hAnsi="宋体"/>
          <w:sz w:val="24"/>
          <w:szCs w:val="24"/>
        </w:rPr>
      </w:pPr>
      <w:bookmarkStart w:id="42" w:name="_Toc109222151"/>
      <w:r>
        <w:rPr>
          <w:rFonts w:hint="eastAsia" w:hAnsi="宋体"/>
          <w:sz w:val="24"/>
          <w:szCs w:val="24"/>
        </w:rPr>
        <w:t>某类费用占比异常病例</w:t>
      </w:r>
      <w:bookmarkEnd w:id="42"/>
    </w:p>
    <w:p>
      <w:pPr>
        <w:numPr>
          <w:ilvl w:val="0"/>
          <w:numId w:val="0"/>
        </w:numPr>
        <w:spacing w:line="360" w:lineRule="auto"/>
        <w:jc w:val="left"/>
        <w:rPr>
          <w:rFonts w:hint="eastAsia" w:hAnsi="宋体"/>
          <w:sz w:val="24"/>
          <w:szCs w:val="24"/>
        </w:rPr>
      </w:pPr>
      <w:r>
        <w:rPr>
          <w:rFonts w:hint="eastAsia" w:hAnsi="宋体"/>
          <w:sz w:val="24"/>
          <w:szCs w:val="24"/>
        </w:rPr>
        <w:t>费用占比超高分析，筛选出某类费用占比异常的病例，如耗占比、药占比超高病例，以便筛选出疑似存在不合理诊疗、过度医疗等行为。</w:t>
      </w:r>
    </w:p>
    <w:p>
      <w:pPr>
        <w:numPr>
          <w:ilvl w:val="0"/>
          <w:numId w:val="0"/>
        </w:numPr>
        <w:spacing w:line="360" w:lineRule="auto"/>
        <w:jc w:val="left"/>
        <w:rPr>
          <w:rFonts w:hint="eastAsia" w:hAnsi="宋体"/>
          <w:sz w:val="24"/>
          <w:szCs w:val="24"/>
        </w:rPr>
      </w:pPr>
      <w:bookmarkStart w:id="43" w:name="_Toc24855"/>
      <w:bookmarkStart w:id="44" w:name="_Toc109222152"/>
      <w:r>
        <w:rPr>
          <w:rFonts w:hint="eastAsia" w:hAnsi="宋体"/>
          <w:sz w:val="24"/>
          <w:szCs w:val="24"/>
        </w:rPr>
        <w:t>二次住院病例监测</w:t>
      </w:r>
      <w:bookmarkEnd w:id="43"/>
      <w:bookmarkEnd w:id="44"/>
    </w:p>
    <w:p>
      <w:pPr>
        <w:numPr>
          <w:ilvl w:val="0"/>
          <w:numId w:val="0"/>
        </w:numPr>
        <w:spacing w:line="360" w:lineRule="auto"/>
        <w:jc w:val="left"/>
        <w:rPr>
          <w:rFonts w:hint="eastAsia" w:hAnsi="宋体"/>
          <w:sz w:val="24"/>
          <w:szCs w:val="24"/>
        </w:rPr>
      </w:pPr>
      <w:r>
        <w:rPr>
          <w:rFonts w:hint="eastAsia" w:hAnsi="宋体"/>
          <w:sz w:val="24"/>
          <w:szCs w:val="24"/>
          <w:lang w:val="zh-TW" w:eastAsia="zh-TW"/>
        </w:rPr>
        <w:t>系统提供任意时间段内</w:t>
      </w:r>
      <w:r>
        <w:rPr>
          <w:rFonts w:hint="eastAsia" w:hAnsi="宋体"/>
          <w:sz w:val="24"/>
          <w:szCs w:val="24"/>
        </w:rPr>
        <w:t>对1日再入院、7日再入院、14日再入院、31日再入院的病历进行统计，</w:t>
      </w:r>
      <w:r>
        <w:rPr>
          <w:rFonts w:hint="eastAsia" w:hAnsi="宋体"/>
          <w:sz w:val="24"/>
          <w:szCs w:val="24"/>
          <w:lang w:val="zh-TW" w:eastAsia="zh-TW"/>
        </w:rPr>
        <w:t>同时能监测出这些病例数占全院的比例、科室内部病例占比等，系统支持费用类别自定义，如药品占比、耗材占比、检查费占比等。</w:t>
      </w:r>
    </w:p>
    <w:p>
      <w:pPr>
        <w:numPr>
          <w:ilvl w:val="0"/>
          <w:numId w:val="0"/>
        </w:numPr>
        <w:spacing w:line="360" w:lineRule="auto"/>
        <w:jc w:val="left"/>
        <w:rPr>
          <w:rFonts w:hint="eastAsia" w:hAnsi="宋体"/>
          <w:sz w:val="24"/>
          <w:szCs w:val="24"/>
        </w:rPr>
      </w:pPr>
      <w:bookmarkStart w:id="45" w:name="_Toc6136"/>
      <w:bookmarkStart w:id="46" w:name="_Toc109222153"/>
      <w:r>
        <w:rPr>
          <w:rFonts w:hint="eastAsia" w:hAnsi="宋体"/>
          <w:sz w:val="24"/>
          <w:szCs w:val="24"/>
        </w:rPr>
        <w:t>一日住院病例监测</w:t>
      </w:r>
      <w:bookmarkEnd w:id="45"/>
      <w:bookmarkEnd w:id="46"/>
    </w:p>
    <w:p>
      <w:pPr>
        <w:numPr>
          <w:ilvl w:val="0"/>
          <w:numId w:val="0"/>
        </w:numPr>
        <w:spacing w:line="360" w:lineRule="auto"/>
        <w:jc w:val="left"/>
        <w:rPr>
          <w:rFonts w:hint="eastAsia" w:hAnsi="宋体"/>
          <w:sz w:val="24"/>
          <w:szCs w:val="24"/>
          <w:lang w:val="zh-TW" w:eastAsia="zh-TW"/>
        </w:rPr>
      </w:pPr>
      <w:r>
        <w:rPr>
          <w:rFonts w:hint="eastAsia" w:hAnsi="宋体"/>
          <w:sz w:val="24"/>
          <w:szCs w:val="24"/>
          <w:lang w:val="zh-TW" w:eastAsia="zh-TW"/>
        </w:rPr>
        <w:t>系统提供任意时间段内</w:t>
      </w:r>
      <w:r>
        <w:rPr>
          <w:rFonts w:hint="eastAsia" w:hAnsi="宋体"/>
          <w:sz w:val="24"/>
          <w:szCs w:val="24"/>
        </w:rPr>
        <w:t>对1日住院、2日住院的病历进行统计，</w:t>
      </w:r>
      <w:r>
        <w:rPr>
          <w:rFonts w:hint="eastAsia" w:hAnsi="宋体"/>
          <w:sz w:val="24"/>
          <w:szCs w:val="24"/>
          <w:lang w:val="zh-TW" w:eastAsia="zh-TW"/>
        </w:rPr>
        <w:t>同时能监测出这些病例数占全院的比例、科室内部病例占比等，系统支持费用类别自定义，如药品占比、耗材占比、检查费占比等。</w:t>
      </w:r>
    </w:p>
    <w:p>
      <w:pPr>
        <w:numPr>
          <w:ilvl w:val="0"/>
          <w:numId w:val="0"/>
        </w:numPr>
        <w:spacing w:line="360" w:lineRule="auto"/>
        <w:jc w:val="left"/>
        <w:rPr>
          <w:rFonts w:hint="eastAsia" w:hAnsi="宋体"/>
          <w:sz w:val="24"/>
          <w:szCs w:val="24"/>
        </w:rPr>
      </w:pPr>
      <w:bookmarkStart w:id="47" w:name="_Toc109222154"/>
      <w:r>
        <w:rPr>
          <w:rFonts w:hint="eastAsia" w:hAnsi="宋体"/>
          <w:sz w:val="24"/>
          <w:szCs w:val="24"/>
        </w:rPr>
        <w:t>重点病种分析</w:t>
      </w:r>
      <w:bookmarkEnd w:id="47"/>
    </w:p>
    <w:p>
      <w:pPr>
        <w:numPr>
          <w:ilvl w:val="0"/>
          <w:numId w:val="0"/>
        </w:numPr>
        <w:spacing w:line="360" w:lineRule="auto"/>
        <w:jc w:val="left"/>
        <w:rPr>
          <w:rFonts w:hint="eastAsia" w:hAnsi="宋体"/>
          <w:sz w:val="24"/>
          <w:szCs w:val="24"/>
        </w:rPr>
      </w:pPr>
      <w:r>
        <w:rPr>
          <w:rFonts w:hint="eastAsia" w:hAnsi="宋体"/>
          <w:sz w:val="24"/>
          <w:szCs w:val="24"/>
        </w:rPr>
        <w:t>（1）高人次病种监测，针对医院出院人数较高的病种进行监测，以了解医院特色病种的盈亏、收治情况等。</w:t>
      </w:r>
    </w:p>
    <w:p>
      <w:pPr>
        <w:numPr>
          <w:ilvl w:val="0"/>
          <w:numId w:val="0"/>
        </w:numPr>
        <w:spacing w:line="360" w:lineRule="auto"/>
        <w:jc w:val="left"/>
        <w:rPr>
          <w:rFonts w:hint="eastAsia" w:hAnsi="宋体"/>
          <w:sz w:val="24"/>
          <w:szCs w:val="24"/>
        </w:rPr>
      </w:pPr>
      <w:r>
        <w:rPr>
          <w:rFonts w:hint="eastAsia" w:hAnsi="宋体"/>
          <w:sz w:val="24"/>
          <w:szCs w:val="24"/>
        </w:rPr>
        <w:t>（2）高费用病种监测，针对病种总费用较高的病种的病例数、收治结余等情况进行监测，此类病种作为后续基金量的大头，是管理者的重点关注对象。</w:t>
      </w:r>
    </w:p>
    <w:p>
      <w:pPr>
        <w:numPr>
          <w:ilvl w:val="0"/>
          <w:numId w:val="0"/>
        </w:numPr>
        <w:spacing w:line="360" w:lineRule="auto"/>
        <w:jc w:val="left"/>
        <w:rPr>
          <w:rFonts w:hint="eastAsia" w:hAnsi="宋体"/>
          <w:sz w:val="24"/>
          <w:szCs w:val="24"/>
        </w:rPr>
      </w:pPr>
      <w:r>
        <w:rPr>
          <w:rFonts w:hint="eastAsia" w:hAnsi="宋体"/>
          <w:sz w:val="24"/>
          <w:szCs w:val="24"/>
        </w:rPr>
        <w:t>（4）高亏损病种监测，从医院经营角度，监测出医院亏损严重的疾病类型，为后续医疗费用、成本控制提供问题导向。</w:t>
      </w:r>
    </w:p>
    <w:p>
      <w:pPr>
        <w:numPr>
          <w:ilvl w:val="0"/>
          <w:numId w:val="0"/>
        </w:numPr>
        <w:spacing w:line="360" w:lineRule="auto"/>
        <w:jc w:val="left"/>
        <w:rPr>
          <w:rFonts w:hint="eastAsia" w:hAnsi="宋体"/>
          <w:sz w:val="24"/>
          <w:szCs w:val="24"/>
        </w:rPr>
      </w:pPr>
      <w:r>
        <w:rPr>
          <w:rFonts w:hint="eastAsia" w:hAnsi="宋体"/>
          <w:sz w:val="24"/>
          <w:szCs w:val="24"/>
        </w:rPr>
        <w:t>（5）高结余病种监测，从医院经营角度，监测出医院优势、结余最多的疾病类型，为后续病种结构调整提供数据支撑。</w:t>
      </w:r>
    </w:p>
    <w:p>
      <w:pPr>
        <w:numPr>
          <w:ilvl w:val="0"/>
          <w:numId w:val="0"/>
        </w:numPr>
        <w:spacing w:line="360" w:lineRule="auto"/>
        <w:jc w:val="left"/>
        <w:rPr>
          <w:rFonts w:hint="eastAsia" w:hAnsi="宋体"/>
          <w:sz w:val="24"/>
          <w:szCs w:val="24"/>
        </w:rPr>
      </w:pPr>
      <w:bookmarkStart w:id="48" w:name="_Toc109222155"/>
      <w:r>
        <w:rPr>
          <w:rFonts w:hint="eastAsia" w:hAnsi="宋体"/>
          <w:sz w:val="24"/>
          <w:szCs w:val="24"/>
        </w:rPr>
        <w:t>相似病种推荐</w:t>
      </w:r>
      <w:bookmarkEnd w:id="48"/>
    </w:p>
    <w:p>
      <w:pPr>
        <w:numPr>
          <w:ilvl w:val="0"/>
          <w:numId w:val="0"/>
        </w:numPr>
        <w:spacing w:line="360" w:lineRule="auto"/>
        <w:jc w:val="left"/>
        <w:rPr>
          <w:rFonts w:hint="eastAsia" w:hAnsi="宋体"/>
          <w:sz w:val="24"/>
          <w:szCs w:val="24"/>
        </w:rPr>
      </w:pPr>
      <w:r>
        <w:rPr>
          <w:rFonts w:hint="eastAsia" w:hAnsi="宋体"/>
          <w:sz w:val="24"/>
          <w:szCs w:val="24"/>
        </w:rPr>
        <w:t>根据患者当前诊断与手术从不同纬度推荐相似病种，通过病种间的对比以辅助医院优化患者病案信息以及院内病种结构。</w:t>
      </w:r>
    </w:p>
    <w:p>
      <w:pPr>
        <w:numPr>
          <w:ilvl w:val="0"/>
          <w:numId w:val="0"/>
        </w:numPr>
        <w:spacing w:line="360" w:lineRule="auto"/>
        <w:jc w:val="left"/>
        <w:rPr>
          <w:rFonts w:hint="eastAsia" w:hAnsi="宋体"/>
          <w:sz w:val="24"/>
          <w:szCs w:val="24"/>
        </w:rPr>
      </w:pPr>
      <w:bookmarkStart w:id="49" w:name="_Toc109222156"/>
      <w:r>
        <w:rPr>
          <w:rFonts w:hint="eastAsia" w:hAnsi="宋体"/>
          <w:sz w:val="24"/>
          <w:szCs w:val="24"/>
        </w:rPr>
        <w:t>DIP模拟付费</w:t>
      </w:r>
      <w:bookmarkEnd w:id="49"/>
    </w:p>
    <w:p>
      <w:pPr>
        <w:numPr>
          <w:ilvl w:val="0"/>
          <w:numId w:val="0"/>
        </w:numPr>
        <w:spacing w:line="360" w:lineRule="auto"/>
        <w:jc w:val="left"/>
        <w:rPr>
          <w:rFonts w:hint="eastAsia" w:hAnsi="宋体"/>
          <w:sz w:val="24"/>
          <w:szCs w:val="24"/>
        </w:rPr>
      </w:pPr>
      <w:r>
        <w:rPr>
          <w:rFonts w:hint="eastAsia" w:hAnsi="宋体"/>
          <w:sz w:val="24"/>
          <w:szCs w:val="24"/>
        </w:rPr>
        <w:t>在患者出院前，医院上报医保局结算前，为医院医保管理着提供患者按DIP付费的模拟结算功能，以便了解各患者费用结算信息、医保结算清单、DIP分组结果、DIP支付标准及预计结余情况等。</w:t>
      </w:r>
    </w:p>
    <w:p>
      <w:pPr>
        <w:numPr>
          <w:ilvl w:val="0"/>
          <w:numId w:val="0"/>
        </w:numPr>
        <w:spacing w:line="360" w:lineRule="auto"/>
        <w:jc w:val="left"/>
        <w:rPr>
          <w:rFonts w:hint="eastAsia" w:hAnsi="宋体"/>
          <w:sz w:val="24"/>
          <w:szCs w:val="24"/>
        </w:rPr>
      </w:pPr>
      <w:bookmarkStart w:id="50" w:name="_Toc109222157"/>
      <w:r>
        <w:rPr>
          <w:rFonts w:hint="eastAsia" w:hAnsi="宋体"/>
          <w:sz w:val="24"/>
          <w:szCs w:val="24"/>
        </w:rPr>
        <w:t>医保对账管理</w:t>
      </w:r>
      <w:bookmarkEnd w:id="50"/>
    </w:p>
    <w:p>
      <w:pPr>
        <w:numPr>
          <w:ilvl w:val="0"/>
          <w:numId w:val="0"/>
        </w:numPr>
        <w:spacing w:line="360" w:lineRule="auto"/>
        <w:jc w:val="left"/>
        <w:rPr>
          <w:rFonts w:hint="eastAsia" w:hAnsi="宋体"/>
          <w:sz w:val="24"/>
          <w:szCs w:val="24"/>
        </w:rPr>
      </w:pPr>
      <w:r>
        <w:rPr>
          <w:rFonts w:hint="eastAsia" w:hAnsi="宋体"/>
          <w:sz w:val="24"/>
          <w:szCs w:val="24"/>
        </w:rPr>
        <w:t>提供任意时间段内相同病例院内使用DIP分组器的分组结果与医保局最终反馈的分组结果的差异对比，以便定位院内医保清单填写问题或者医保局分组方案疑问等，为后续向医保局申诉提供数据依据。</w:t>
      </w:r>
    </w:p>
    <w:p>
      <w:pPr>
        <w:numPr>
          <w:ilvl w:val="0"/>
          <w:numId w:val="0"/>
        </w:numPr>
        <w:spacing w:line="360" w:lineRule="auto"/>
        <w:jc w:val="left"/>
        <w:rPr>
          <w:rFonts w:hint="eastAsia" w:hAnsi="宋体"/>
          <w:sz w:val="24"/>
          <w:szCs w:val="24"/>
        </w:rPr>
      </w:pPr>
      <w:bookmarkStart w:id="51" w:name="_Toc109222158"/>
      <w:r>
        <w:rPr>
          <w:rFonts w:hint="eastAsia" w:hAnsi="宋体"/>
          <w:sz w:val="24"/>
          <w:szCs w:val="24"/>
        </w:rPr>
        <w:t>科室费用构成</w:t>
      </w:r>
      <w:bookmarkEnd w:id="51"/>
    </w:p>
    <w:p>
      <w:pPr>
        <w:numPr>
          <w:ilvl w:val="0"/>
          <w:numId w:val="0"/>
        </w:numPr>
        <w:spacing w:line="360" w:lineRule="auto"/>
        <w:jc w:val="left"/>
        <w:rPr>
          <w:rFonts w:hint="eastAsia" w:hAnsi="宋体"/>
          <w:sz w:val="24"/>
          <w:szCs w:val="24"/>
        </w:rPr>
      </w:pPr>
      <w:r>
        <w:rPr>
          <w:rFonts w:hint="eastAsia" w:hAnsi="宋体"/>
          <w:sz w:val="24"/>
          <w:szCs w:val="24"/>
        </w:rPr>
        <w:t>分析医院、科室收治患者的不同类型的费用构成情况，通过与同期数据、上期数据等进行对比，发现费用问题，帮助医院查找问题，定位问题。其中，费用类别支持个性化配置。</w:t>
      </w:r>
    </w:p>
    <w:p>
      <w:pPr>
        <w:numPr>
          <w:ilvl w:val="0"/>
          <w:numId w:val="0"/>
        </w:numPr>
        <w:spacing w:line="360" w:lineRule="auto"/>
        <w:jc w:val="left"/>
        <w:rPr>
          <w:rFonts w:hint="eastAsia" w:hAnsi="宋体"/>
          <w:sz w:val="24"/>
          <w:szCs w:val="24"/>
        </w:rPr>
      </w:pPr>
      <w:bookmarkStart w:id="52" w:name="_Toc109222159"/>
      <w:r>
        <w:rPr>
          <w:rFonts w:hint="eastAsia" w:hAnsi="宋体"/>
          <w:sz w:val="24"/>
          <w:szCs w:val="24"/>
        </w:rPr>
        <w:t>医保申诉</w:t>
      </w:r>
      <w:bookmarkEnd w:id="52"/>
    </w:p>
    <w:p>
      <w:pPr>
        <w:numPr>
          <w:ilvl w:val="0"/>
          <w:numId w:val="0"/>
        </w:numPr>
        <w:spacing w:line="360" w:lineRule="auto"/>
        <w:jc w:val="left"/>
        <w:rPr>
          <w:rFonts w:hint="eastAsia" w:hAnsi="宋体"/>
          <w:sz w:val="24"/>
          <w:szCs w:val="24"/>
        </w:rPr>
      </w:pPr>
      <w:r>
        <w:rPr>
          <w:rFonts w:hint="eastAsia" w:hAnsi="宋体"/>
          <w:sz w:val="24"/>
          <w:szCs w:val="24"/>
        </w:rPr>
        <w:t>为医院提供自动刷选高低倍率病例、未入组、重复入院、短期入院等异常行为的病例，可通过系统书写申诉依据，完成申诉操作。并且可以通过导入申诉结果，分析出申诉前及申诉后院内整体的盈亏情况，为院内争取更大的医保基金提供有力抓手。</w:t>
      </w:r>
    </w:p>
    <w:p>
      <w:pPr>
        <w:numPr>
          <w:ilvl w:val="0"/>
          <w:numId w:val="0"/>
        </w:numPr>
        <w:spacing w:line="360" w:lineRule="auto"/>
        <w:jc w:val="left"/>
        <w:rPr>
          <w:rFonts w:hint="eastAsia" w:hAnsi="宋体"/>
          <w:sz w:val="24"/>
          <w:szCs w:val="24"/>
        </w:rPr>
      </w:pPr>
      <w:bookmarkStart w:id="53" w:name="_Toc109222160"/>
      <w:r>
        <w:rPr>
          <w:rFonts w:hint="eastAsia" w:hAnsi="宋体"/>
          <w:sz w:val="24"/>
          <w:szCs w:val="24"/>
        </w:rPr>
        <w:t>DIP事中监控</w:t>
      </w:r>
      <w:bookmarkEnd w:id="53"/>
    </w:p>
    <w:p>
      <w:pPr>
        <w:numPr>
          <w:ilvl w:val="0"/>
          <w:numId w:val="0"/>
        </w:numPr>
        <w:spacing w:line="360" w:lineRule="auto"/>
        <w:jc w:val="left"/>
        <w:rPr>
          <w:rFonts w:hint="eastAsia" w:hAnsi="宋体"/>
          <w:sz w:val="24"/>
          <w:szCs w:val="24"/>
        </w:rPr>
      </w:pPr>
      <w:r>
        <w:rPr>
          <w:rFonts w:hint="eastAsia" w:hAnsi="宋体"/>
          <w:sz w:val="24"/>
          <w:szCs w:val="24"/>
        </w:rPr>
        <w:t>（1）在院病例智能分组概览</w:t>
      </w:r>
    </w:p>
    <w:p>
      <w:pPr>
        <w:numPr>
          <w:ilvl w:val="0"/>
          <w:numId w:val="0"/>
        </w:numPr>
        <w:spacing w:line="360" w:lineRule="auto"/>
        <w:jc w:val="left"/>
        <w:rPr>
          <w:rFonts w:hint="eastAsia" w:hAnsi="宋体"/>
          <w:sz w:val="24"/>
          <w:szCs w:val="24"/>
        </w:rPr>
      </w:pPr>
      <w:r>
        <w:rPr>
          <w:rFonts w:hint="eastAsia" w:hAnsi="宋体"/>
          <w:sz w:val="24"/>
          <w:szCs w:val="24"/>
        </w:rPr>
        <w:t>临床医生和管理者每天都能并查看各自负责的在院病例列表并提示各患者DIP分组结果，各项指标的超标情况等，同时能按照患者费用使用的不同比例程度进行病例筛选。</w:t>
      </w:r>
    </w:p>
    <w:p>
      <w:pPr>
        <w:numPr>
          <w:ilvl w:val="0"/>
          <w:numId w:val="0"/>
        </w:numPr>
        <w:spacing w:line="360" w:lineRule="auto"/>
        <w:jc w:val="left"/>
        <w:rPr>
          <w:rFonts w:hint="eastAsia" w:hAnsi="宋体"/>
          <w:sz w:val="24"/>
          <w:szCs w:val="24"/>
        </w:rPr>
      </w:pPr>
      <w:r>
        <w:rPr>
          <w:rFonts w:hint="eastAsia" w:hAnsi="宋体"/>
          <w:sz w:val="24"/>
          <w:szCs w:val="24"/>
        </w:rPr>
        <w:t>（2）历史分组结果查看</w:t>
      </w:r>
    </w:p>
    <w:p>
      <w:pPr>
        <w:numPr>
          <w:ilvl w:val="0"/>
          <w:numId w:val="0"/>
        </w:numPr>
        <w:spacing w:line="360" w:lineRule="auto"/>
        <w:jc w:val="left"/>
        <w:rPr>
          <w:rFonts w:hint="eastAsia" w:hAnsi="宋体"/>
          <w:sz w:val="24"/>
          <w:szCs w:val="24"/>
        </w:rPr>
      </w:pPr>
      <w:r>
        <w:rPr>
          <w:rFonts w:hint="eastAsia" w:hAnsi="宋体"/>
          <w:sz w:val="24"/>
          <w:szCs w:val="24"/>
        </w:rPr>
        <w:t>临床医生和管理者可对同一患者查看其几天内住院期间每天的分组结果及相关信息的变化情况。</w:t>
      </w:r>
    </w:p>
    <w:p>
      <w:pPr>
        <w:numPr>
          <w:ilvl w:val="0"/>
          <w:numId w:val="0"/>
        </w:numPr>
        <w:spacing w:line="360" w:lineRule="auto"/>
        <w:jc w:val="left"/>
        <w:rPr>
          <w:rFonts w:hint="eastAsia" w:hAnsi="宋体"/>
          <w:sz w:val="24"/>
          <w:szCs w:val="24"/>
        </w:rPr>
      </w:pPr>
      <w:r>
        <w:rPr>
          <w:rFonts w:hint="eastAsia" w:hAnsi="宋体"/>
          <w:sz w:val="24"/>
          <w:szCs w:val="24"/>
        </w:rPr>
        <w:t>（4）在院病例智能监测</w:t>
      </w:r>
    </w:p>
    <w:p>
      <w:pPr>
        <w:numPr>
          <w:ilvl w:val="0"/>
          <w:numId w:val="0"/>
        </w:numPr>
        <w:spacing w:line="360" w:lineRule="auto"/>
        <w:jc w:val="left"/>
        <w:rPr>
          <w:rFonts w:hint="eastAsia" w:hAnsi="宋体"/>
          <w:sz w:val="24"/>
          <w:szCs w:val="24"/>
        </w:rPr>
      </w:pPr>
      <w:r>
        <w:rPr>
          <w:rFonts w:hint="eastAsia" w:hAnsi="宋体"/>
          <w:sz w:val="24"/>
          <w:szCs w:val="24"/>
        </w:rPr>
        <w:t>支持根据在院病例的分组结果，做全院、科室、病种以及科室下的DIP组、各DIP病种在不同科室的盈亏的统计，并支持从盈亏统计下钻到对应的病例列表，查看每个病人的盈亏情况。</w:t>
      </w:r>
    </w:p>
    <w:p>
      <w:pPr>
        <w:numPr>
          <w:ilvl w:val="0"/>
          <w:numId w:val="0"/>
        </w:numPr>
        <w:spacing w:line="360" w:lineRule="auto"/>
        <w:jc w:val="left"/>
        <w:rPr>
          <w:rFonts w:hint="eastAsia" w:hAnsi="宋体"/>
          <w:sz w:val="24"/>
          <w:szCs w:val="24"/>
        </w:rPr>
      </w:pPr>
      <w:r>
        <w:rPr>
          <w:rFonts w:hint="eastAsia" w:hAnsi="宋体"/>
          <w:sz w:val="24"/>
          <w:szCs w:val="24"/>
        </w:rPr>
        <w:t>（5）DIP智能分组与HIS融合</w:t>
      </w:r>
    </w:p>
    <w:p>
      <w:pPr>
        <w:numPr>
          <w:ilvl w:val="0"/>
          <w:numId w:val="0"/>
        </w:numPr>
        <w:spacing w:line="360" w:lineRule="auto"/>
        <w:jc w:val="left"/>
        <w:rPr>
          <w:rFonts w:hint="eastAsia" w:hAnsi="宋体"/>
          <w:sz w:val="24"/>
          <w:szCs w:val="24"/>
        </w:rPr>
      </w:pPr>
      <w:r>
        <w:rPr>
          <w:rFonts w:hint="eastAsia" w:hAnsi="宋体"/>
          <w:sz w:val="24"/>
          <w:szCs w:val="24"/>
        </w:rPr>
        <w:t>临床医生在医生站和电子病例下诊断、手术申请以及下医嘱的过程中结和DIP智能分组进行深度结和，实施监控在院病例分组及病例分组结果，权重，付费标准以及病例当前超标情况。实现费用预警监控，当病例分组超出支付标准时提示下医嘱相关提醒。</w:t>
      </w:r>
    </w:p>
    <w:p>
      <w:pPr>
        <w:numPr>
          <w:ilvl w:val="0"/>
          <w:numId w:val="0"/>
        </w:numPr>
        <w:spacing w:line="360" w:lineRule="auto"/>
        <w:jc w:val="left"/>
        <w:rPr>
          <w:rFonts w:hint="eastAsia" w:hAnsi="宋体"/>
          <w:sz w:val="24"/>
          <w:szCs w:val="24"/>
        </w:rPr>
      </w:pPr>
      <w:bookmarkStart w:id="54" w:name="_Toc109222161"/>
      <w:r>
        <w:rPr>
          <w:rFonts w:hint="eastAsia" w:hAnsi="宋体"/>
          <w:sz w:val="24"/>
          <w:szCs w:val="24"/>
        </w:rPr>
        <w:t>报表</w:t>
      </w:r>
      <w:bookmarkEnd w:id="54"/>
    </w:p>
    <w:p>
      <w:pPr>
        <w:numPr>
          <w:ilvl w:val="0"/>
          <w:numId w:val="0"/>
        </w:numPr>
        <w:spacing w:line="360" w:lineRule="auto"/>
        <w:jc w:val="left"/>
        <w:rPr>
          <w:rFonts w:hint="eastAsia" w:hAnsi="宋体"/>
          <w:sz w:val="24"/>
          <w:szCs w:val="24"/>
        </w:rPr>
      </w:pPr>
      <w:r>
        <w:rPr>
          <w:rFonts w:hint="eastAsia" w:hAnsi="宋体"/>
          <w:sz w:val="24"/>
          <w:szCs w:val="24"/>
        </w:rPr>
        <w:t>为便于数据统计结果导出，要求系统提供全院/科室/医生/病种/科室病种盈亏统计报表，以及各科室医保患者各类基金使用情况、全院和各科室各类基金历史月度/季度/年度使用情况统计报表。</w:t>
      </w:r>
    </w:p>
    <w:p>
      <w:pPr>
        <w:numPr>
          <w:ilvl w:val="0"/>
          <w:numId w:val="0"/>
        </w:numPr>
        <w:spacing w:line="360" w:lineRule="auto"/>
        <w:jc w:val="left"/>
        <w:rPr>
          <w:rFonts w:hint="eastAsia" w:hAnsi="宋体"/>
          <w:sz w:val="24"/>
          <w:szCs w:val="24"/>
        </w:rPr>
      </w:pPr>
      <w:bookmarkStart w:id="55" w:name="_Toc109222162"/>
      <w:r>
        <w:rPr>
          <w:rFonts w:hint="eastAsia" w:hAnsi="宋体"/>
          <w:sz w:val="24"/>
          <w:szCs w:val="24"/>
        </w:rPr>
        <w:t>DIP分组服务</w:t>
      </w:r>
      <w:bookmarkEnd w:id="55"/>
    </w:p>
    <w:p>
      <w:pPr>
        <w:numPr>
          <w:ilvl w:val="0"/>
          <w:numId w:val="0"/>
        </w:numPr>
        <w:spacing w:line="360" w:lineRule="auto"/>
        <w:jc w:val="left"/>
        <w:rPr>
          <w:rFonts w:hint="eastAsia" w:hAnsi="宋体"/>
          <w:sz w:val="24"/>
          <w:szCs w:val="24"/>
        </w:rPr>
      </w:pPr>
      <w:r>
        <w:rPr>
          <w:rFonts w:hint="eastAsia" w:hAnsi="宋体"/>
          <w:sz w:val="24"/>
          <w:szCs w:val="24"/>
        </w:rPr>
        <w:t>支持DIP分组器对采集过来的病案首页数据进行分组。系统同时支持把从区域DIP平台获取的DIP分组结果离线数据导入系统进行指标监测和数据分析。</w:t>
      </w:r>
    </w:p>
    <w:p>
      <w:pPr>
        <w:numPr>
          <w:ilvl w:val="0"/>
          <w:numId w:val="0"/>
        </w:numPr>
        <w:spacing w:line="360" w:lineRule="auto"/>
        <w:jc w:val="left"/>
        <w:rPr>
          <w:rFonts w:hint="eastAsia" w:hAnsi="宋体"/>
          <w:sz w:val="24"/>
          <w:szCs w:val="24"/>
        </w:rPr>
      </w:pPr>
      <w:bookmarkStart w:id="56" w:name="_Toc109222163"/>
      <w:r>
        <w:rPr>
          <w:rFonts w:hint="eastAsia" w:hAnsi="宋体"/>
          <w:sz w:val="24"/>
          <w:szCs w:val="24"/>
        </w:rPr>
        <w:t>分组结果数据接口服务</w:t>
      </w:r>
      <w:bookmarkEnd w:id="56"/>
    </w:p>
    <w:p>
      <w:pPr>
        <w:numPr>
          <w:ilvl w:val="0"/>
          <w:numId w:val="0"/>
        </w:numPr>
        <w:spacing w:line="360" w:lineRule="auto"/>
        <w:jc w:val="left"/>
        <w:rPr>
          <w:rFonts w:hint="eastAsia" w:hAnsi="宋体"/>
          <w:sz w:val="24"/>
          <w:szCs w:val="24"/>
        </w:rPr>
      </w:pPr>
      <w:r>
        <w:rPr>
          <w:rFonts w:hint="eastAsia" w:hAnsi="宋体"/>
          <w:sz w:val="24"/>
          <w:szCs w:val="24"/>
        </w:rPr>
        <w:t>从业务需求出发医院管理者可能在其他系统中展示DIP相关指标，针对系统中存储的首页数据，可根据首页数据的分组结果，将科室的DIP指标等数据传输到本院指定系统做后续业务处理。</w:t>
      </w:r>
    </w:p>
    <w:p>
      <w:pPr>
        <w:numPr>
          <w:ilvl w:val="0"/>
          <w:numId w:val="0"/>
        </w:numPr>
        <w:spacing w:line="360" w:lineRule="auto"/>
        <w:jc w:val="left"/>
        <w:rPr>
          <w:rFonts w:hint="eastAsia" w:hAnsi="宋体"/>
          <w:sz w:val="24"/>
          <w:szCs w:val="24"/>
        </w:rPr>
      </w:pPr>
      <w:bookmarkStart w:id="57" w:name="_Toc109222164"/>
      <w:r>
        <w:rPr>
          <w:rFonts w:hint="eastAsia" w:hAnsi="宋体"/>
          <w:sz w:val="24"/>
          <w:szCs w:val="24"/>
        </w:rPr>
        <w:t>日志服务</w:t>
      </w:r>
      <w:bookmarkEnd w:id="57"/>
    </w:p>
    <w:p>
      <w:pPr>
        <w:numPr>
          <w:ilvl w:val="0"/>
          <w:numId w:val="0"/>
        </w:numPr>
        <w:spacing w:line="360" w:lineRule="auto"/>
        <w:jc w:val="left"/>
        <w:rPr>
          <w:rFonts w:hint="eastAsia" w:hAnsi="宋体"/>
          <w:sz w:val="24"/>
          <w:szCs w:val="24"/>
        </w:rPr>
      </w:pPr>
      <w:r>
        <w:rPr>
          <w:rFonts w:hint="eastAsia" w:hAnsi="宋体"/>
          <w:sz w:val="24"/>
          <w:szCs w:val="24"/>
        </w:rPr>
        <w:t>需要提供系统的用户访问、操作信息等的记录和查询服务。</w:t>
      </w:r>
    </w:p>
    <w:p>
      <w:pPr>
        <w:numPr>
          <w:ilvl w:val="0"/>
          <w:numId w:val="0"/>
        </w:numPr>
        <w:spacing w:line="360" w:lineRule="auto"/>
        <w:jc w:val="left"/>
        <w:rPr>
          <w:rFonts w:hint="eastAsia" w:hAnsi="宋体"/>
          <w:sz w:val="24"/>
          <w:szCs w:val="24"/>
        </w:rPr>
      </w:pPr>
      <w:bookmarkStart w:id="58" w:name="_Toc109222165"/>
      <w:r>
        <w:rPr>
          <w:rFonts w:hint="eastAsia" w:hAnsi="宋体"/>
          <w:sz w:val="24"/>
          <w:szCs w:val="24"/>
        </w:rPr>
        <w:t>ICD对照</w:t>
      </w:r>
      <w:bookmarkEnd w:id="58"/>
    </w:p>
    <w:p>
      <w:pPr>
        <w:numPr>
          <w:ilvl w:val="0"/>
          <w:numId w:val="0"/>
        </w:numPr>
        <w:spacing w:line="360" w:lineRule="auto"/>
        <w:jc w:val="left"/>
        <w:rPr>
          <w:rFonts w:hint="eastAsia" w:hAnsi="宋体"/>
          <w:sz w:val="24"/>
          <w:szCs w:val="24"/>
        </w:rPr>
      </w:pPr>
      <w:r>
        <w:rPr>
          <w:rFonts w:hint="eastAsia" w:hAnsi="宋体"/>
          <w:sz w:val="24"/>
          <w:szCs w:val="24"/>
        </w:rPr>
        <w:t>要求提供医院使用的疾病诊断、手术/操作编码与标准ICD字典的ICD对照服务，同时要求支持用户ICD在线手动匹配确认和离线的ICD对照结果按照模板导入系统的功能。</w:t>
      </w:r>
    </w:p>
    <w:p>
      <w:pPr>
        <w:numPr>
          <w:ilvl w:val="0"/>
          <w:numId w:val="0"/>
        </w:numPr>
        <w:spacing w:line="360" w:lineRule="auto"/>
        <w:jc w:val="left"/>
        <w:rPr>
          <w:rFonts w:hint="eastAsia" w:hAnsi="宋体"/>
          <w:sz w:val="24"/>
          <w:szCs w:val="24"/>
        </w:rPr>
      </w:pPr>
      <w:bookmarkStart w:id="59" w:name="_Toc109222166"/>
      <w:r>
        <w:rPr>
          <w:rFonts w:hint="eastAsia" w:hAnsi="宋体"/>
          <w:sz w:val="24"/>
          <w:szCs w:val="24"/>
        </w:rPr>
        <w:t>DIP字典查询</w:t>
      </w:r>
      <w:bookmarkEnd w:id="59"/>
    </w:p>
    <w:p>
      <w:pPr>
        <w:numPr>
          <w:ilvl w:val="0"/>
          <w:numId w:val="0"/>
        </w:numPr>
        <w:spacing w:line="360" w:lineRule="auto"/>
        <w:jc w:val="left"/>
        <w:rPr>
          <w:rFonts w:hint="eastAsia" w:hAnsi="宋体"/>
          <w:sz w:val="24"/>
          <w:szCs w:val="24"/>
        </w:rPr>
      </w:pPr>
      <w:r>
        <w:rPr>
          <w:rFonts w:hint="eastAsia" w:hAnsi="宋体"/>
          <w:sz w:val="24"/>
          <w:szCs w:val="24"/>
        </w:rPr>
        <w:t>提供关于DIP字典在线查询和上传新版本字典的功能。</w:t>
      </w:r>
    </w:p>
    <w:p>
      <w:pPr>
        <w:numPr>
          <w:ilvl w:val="0"/>
          <w:numId w:val="0"/>
        </w:numPr>
        <w:spacing w:line="360" w:lineRule="auto"/>
        <w:jc w:val="left"/>
        <w:rPr>
          <w:rFonts w:hint="eastAsia" w:hAnsi="宋体"/>
          <w:sz w:val="24"/>
          <w:szCs w:val="24"/>
        </w:rPr>
      </w:pPr>
      <w:bookmarkStart w:id="60" w:name="_Toc109222167"/>
      <w:r>
        <w:rPr>
          <w:rFonts w:hint="eastAsia" w:hAnsi="宋体"/>
          <w:sz w:val="24"/>
          <w:szCs w:val="24"/>
        </w:rPr>
        <w:t>系统管理</w:t>
      </w:r>
      <w:bookmarkEnd w:id="60"/>
    </w:p>
    <w:p>
      <w:pPr>
        <w:numPr>
          <w:ilvl w:val="0"/>
          <w:numId w:val="0"/>
        </w:numPr>
        <w:spacing w:line="360" w:lineRule="auto"/>
        <w:jc w:val="left"/>
        <w:rPr>
          <w:rFonts w:hint="eastAsia" w:hAnsi="宋体"/>
          <w:sz w:val="24"/>
          <w:szCs w:val="24"/>
        </w:rPr>
      </w:pPr>
      <w:r>
        <w:rPr>
          <w:rFonts w:hint="eastAsia" w:hAnsi="宋体"/>
          <w:sz w:val="24"/>
          <w:szCs w:val="24"/>
        </w:rPr>
        <w:t>系统要求实现高可配置化，以满足后续可能变化的需求，同时减少对其他业务系统的改造成本。可配置项包含病案首页版本、疾病诊断和手术/操作ICD编码版本、统计年度起止月份、接口信息等。</w:t>
      </w:r>
    </w:p>
    <w:p>
      <w:pPr>
        <w:numPr>
          <w:ilvl w:val="0"/>
          <w:numId w:val="0"/>
        </w:numPr>
        <w:spacing w:line="360" w:lineRule="auto"/>
        <w:jc w:val="left"/>
        <w:rPr>
          <w:rFonts w:hint="eastAsia" w:hAnsi="宋体"/>
          <w:sz w:val="24"/>
          <w:szCs w:val="24"/>
        </w:rPr>
      </w:pPr>
      <w:bookmarkStart w:id="61" w:name="_Toc109222168"/>
      <w:r>
        <w:rPr>
          <w:rFonts w:hint="eastAsia" w:hAnsi="宋体"/>
          <w:sz w:val="24"/>
          <w:szCs w:val="24"/>
        </w:rPr>
        <w:t>角色管理</w:t>
      </w:r>
      <w:bookmarkEnd w:id="61"/>
    </w:p>
    <w:p>
      <w:pPr>
        <w:numPr>
          <w:ilvl w:val="0"/>
          <w:numId w:val="0"/>
        </w:numPr>
        <w:spacing w:line="360" w:lineRule="auto"/>
        <w:jc w:val="left"/>
        <w:rPr>
          <w:rFonts w:hint="eastAsia" w:hAnsi="宋体"/>
          <w:sz w:val="24"/>
          <w:szCs w:val="24"/>
        </w:rPr>
      </w:pPr>
      <w:r>
        <w:rPr>
          <w:rFonts w:hint="eastAsia" w:hAnsi="宋体"/>
          <w:sz w:val="24"/>
          <w:szCs w:val="24"/>
        </w:rPr>
        <w:t>系统需要满足医院业务情况设置不同用户角色并定义各角色系统可访问的页面菜单权限等。包含常规的角色增加、删除、修改、页面资源访问权限分配等</w:t>
      </w:r>
    </w:p>
    <w:p>
      <w:pPr>
        <w:numPr>
          <w:ilvl w:val="0"/>
          <w:numId w:val="0"/>
        </w:numPr>
        <w:spacing w:line="360" w:lineRule="auto"/>
        <w:jc w:val="left"/>
        <w:rPr>
          <w:rFonts w:hint="eastAsia" w:hAnsi="宋体"/>
          <w:sz w:val="24"/>
          <w:szCs w:val="24"/>
        </w:rPr>
      </w:pPr>
      <w:bookmarkStart w:id="62" w:name="_Toc109222169"/>
      <w:r>
        <w:rPr>
          <w:rFonts w:hint="eastAsia" w:hAnsi="宋体"/>
          <w:sz w:val="24"/>
          <w:szCs w:val="24"/>
        </w:rPr>
        <w:t>用户管理</w:t>
      </w:r>
      <w:bookmarkEnd w:id="62"/>
    </w:p>
    <w:p>
      <w:pPr>
        <w:numPr>
          <w:ilvl w:val="0"/>
          <w:numId w:val="0"/>
        </w:numPr>
        <w:spacing w:line="360" w:lineRule="auto"/>
        <w:jc w:val="left"/>
        <w:rPr>
          <w:rFonts w:hint="eastAsia" w:hAnsi="宋体"/>
          <w:sz w:val="24"/>
          <w:szCs w:val="24"/>
        </w:rPr>
      </w:pPr>
      <w:r>
        <w:rPr>
          <w:rFonts w:hint="eastAsia" w:hAnsi="宋体"/>
          <w:sz w:val="24"/>
          <w:szCs w:val="24"/>
        </w:rPr>
        <w:t>系统要求提供用户信息的动态维护功能，进行用户管理以及所属角色定义，定义系统的用户，实现RBAC的权限模型。包含常规的用户增加、删除、修改、角色分配、权限分配等。</w:t>
      </w:r>
    </w:p>
    <w:p>
      <w:pPr>
        <w:numPr>
          <w:ilvl w:val="0"/>
          <w:numId w:val="0"/>
        </w:numPr>
        <w:spacing w:line="360" w:lineRule="auto"/>
        <w:jc w:val="left"/>
        <w:rPr>
          <w:rFonts w:hint="eastAsia" w:hAnsi="宋体"/>
          <w:sz w:val="24"/>
          <w:szCs w:val="24"/>
        </w:rPr>
      </w:pPr>
      <w:bookmarkStart w:id="63" w:name="_Toc109222170"/>
      <w:r>
        <w:rPr>
          <w:rFonts w:hint="eastAsia" w:hAnsi="宋体"/>
          <w:sz w:val="24"/>
          <w:szCs w:val="24"/>
        </w:rPr>
        <w:t>组织机构信息管理</w:t>
      </w:r>
      <w:bookmarkEnd w:id="63"/>
    </w:p>
    <w:p>
      <w:pPr>
        <w:numPr>
          <w:ilvl w:val="0"/>
          <w:numId w:val="0"/>
        </w:numPr>
        <w:spacing w:line="360" w:lineRule="auto"/>
        <w:jc w:val="left"/>
        <w:rPr>
          <w:rFonts w:hint="eastAsia" w:hAnsi="宋体"/>
          <w:sz w:val="24"/>
          <w:szCs w:val="24"/>
        </w:rPr>
      </w:pPr>
      <w:r>
        <w:rPr>
          <w:rFonts w:hint="eastAsia" w:hAnsi="宋体"/>
          <w:sz w:val="24"/>
          <w:szCs w:val="24"/>
        </w:rPr>
        <w:t>系统要求提供院内临床科室组织结构信息动态增加、删除、修改、隶属关系维护等功能，组织机构至少支持科室、病区、医师层级。</w:t>
      </w:r>
    </w:p>
    <w:p>
      <w:pPr>
        <w:numPr>
          <w:ilvl w:val="0"/>
          <w:numId w:val="0"/>
        </w:numPr>
        <w:spacing w:line="360" w:lineRule="auto"/>
        <w:jc w:val="left"/>
        <w:rPr>
          <w:rFonts w:hint="eastAsia" w:hAnsi="宋体"/>
          <w:sz w:val="24"/>
          <w:szCs w:val="24"/>
        </w:rPr>
      </w:pPr>
      <w:bookmarkStart w:id="64" w:name="_Toc109222171"/>
      <w:r>
        <w:rPr>
          <w:rFonts w:hint="eastAsia" w:hAnsi="宋体"/>
          <w:sz w:val="24"/>
          <w:szCs w:val="24"/>
        </w:rPr>
        <w:t>查询条件</w:t>
      </w:r>
      <w:bookmarkEnd w:id="64"/>
    </w:p>
    <w:p>
      <w:pPr>
        <w:numPr>
          <w:ilvl w:val="0"/>
          <w:numId w:val="0"/>
        </w:numPr>
        <w:spacing w:line="360" w:lineRule="auto"/>
        <w:jc w:val="left"/>
        <w:rPr>
          <w:rFonts w:hint="eastAsia" w:hAnsi="宋体"/>
          <w:sz w:val="24"/>
          <w:szCs w:val="24"/>
        </w:rPr>
      </w:pPr>
      <w:r>
        <w:rPr>
          <w:rFonts w:hint="eastAsia" w:hAnsi="宋体"/>
          <w:sz w:val="24"/>
          <w:szCs w:val="24"/>
        </w:rPr>
        <w:t>特定数据监测场景下（如监测、分析功能等），要求满足不同维度的数据监测结果查询，至少包含时间（月度、年度、自定义时间段）、比较类型（同期比、环比等）等。</w:t>
      </w:r>
    </w:p>
    <w:p>
      <w:pPr>
        <w:numPr>
          <w:ilvl w:val="0"/>
          <w:numId w:val="0"/>
        </w:numPr>
        <w:spacing w:line="360" w:lineRule="auto"/>
        <w:jc w:val="left"/>
        <w:rPr>
          <w:rFonts w:hint="eastAsia" w:hAnsi="宋体"/>
          <w:sz w:val="24"/>
          <w:szCs w:val="24"/>
        </w:rPr>
      </w:pPr>
      <w:bookmarkStart w:id="65" w:name="_Toc109222172"/>
      <w:r>
        <w:rPr>
          <w:rFonts w:hint="eastAsia" w:hAnsi="宋体"/>
          <w:sz w:val="24"/>
          <w:szCs w:val="24"/>
        </w:rPr>
        <w:t>图形展现</w:t>
      </w:r>
      <w:bookmarkEnd w:id="65"/>
    </w:p>
    <w:p>
      <w:pPr>
        <w:numPr>
          <w:ilvl w:val="0"/>
          <w:numId w:val="0"/>
        </w:numPr>
        <w:spacing w:line="360" w:lineRule="auto"/>
        <w:jc w:val="left"/>
        <w:rPr>
          <w:rFonts w:hint="eastAsia" w:hAnsi="宋体"/>
          <w:sz w:val="24"/>
          <w:szCs w:val="24"/>
        </w:rPr>
      </w:pPr>
      <w:r>
        <w:rPr>
          <w:rFonts w:hint="eastAsia" w:hAnsi="宋体"/>
          <w:sz w:val="24"/>
          <w:szCs w:val="24"/>
        </w:rPr>
        <w:t>针对系统中图形展现，要求提供丰富多样的图形展现形式，如柱状图、折线图、象限图、极地图、饼图、散点图、柱状-折线混合图等。此外，针对复杂图形为辅助用户理解，要求提供解读性文字描述等。</w:t>
      </w:r>
    </w:p>
    <w:p>
      <w:pPr>
        <w:numPr>
          <w:ilvl w:val="0"/>
          <w:numId w:val="0"/>
        </w:numPr>
        <w:spacing w:line="360" w:lineRule="auto"/>
        <w:jc w:val="left"/>
        <w:rPr>
          <w:rFonts w:hint="eastAsia" w:hAnsi="宋体"/>
          <w:sz w:val="24"/>
          <w:szCs w:val="24"/>
        </w:rPr>
      </w:pPr>
      <w:bookmarkStart w:id="66" w:name="_Toc109222173"/>
      <w:r>
        <w:rPr>
          <w:rFonts w:hint="eastAsia" w:hAnsi="宋体"/>
          <w:sz w:val="24"/>
          <w:szCs w:val="24"/>
        </w:rPr>
        <w:t>数据导出</w:t>
      </w:r>
      <w:bookmarkEnd w:id="66"/>
    </w:p>
    <w:p>
      <w:pPr>
        <w:numPr>
          <w:ilvl w:val="0"/>
          <w:numId w:val="0"/>
        </w:numPr>
        <w:spacing w:line="360" w:lineRule="auto"/>
        <w:jc w:val="left"/>
        <w:rPr>
          <w:rFonts w:hint="eastAsia" w:hAnsi="宋体"/>
          <w:sz w:val="24"/>
          <w:szCs w:val="24"/>
        </w:rPr>
      </w:pPr>
      <w:r>
        <w:rPr>
          <w:rFonts w:hint="eastAsia" w:hAnsi="宋体"/>
          <w:sz w:val="24"/>
          <w:szCs w:val="24"/>
        </w:rPr>
        <w:t>为满足数据二次利用，要求系统针对图形和表格支持数据导出功能。图片支持PNG格式导出，表格支持CSV、Excel等格式导出。</w:t>
      </w:r>
    </w:p>
    <w:p>
      <w:pPr>
        <w:numPr>
          <w:ilvl w:val="0"/>
          <w:numId w:val="0"/>
        </w:numPr>
        <w:spacing w:line="360" w:lineRule="auto"/>
        <w:jc w:val="left"/>
        <w:rPr>
          <w:rFonts w:hint="eastAsia" w:hAnsi="宋体"/>
          <w:sz w:val="24"/>
          <w:szCs w:val="24"/>
        </w:rPr>
      </w:pPr>
      <w:bookmarkStart w:id="67" w:name="_Toc104974673"/>
      <w:bookmarkStart w:id="68" w:name="_Toc104974699"/>
      <w:bookmarkStart w:id="69" w:name="_Toc109222174"/>
      <w:r>
        <w:rPr>
          <w:rFonts w:hint="eastAsia" w:hAnsi="宋体"/>
          <w:sz w:val="24"/>
          <w:szCs w:val="24"/>
        </w:rPr>
        <w:t>其他非功能性要求</w:t>
      </w:r>
      <w:bookmarkEnd w:id="67"/>
      <w:bookmarkEnd w:id="68"/>
      <w:bookmarkEnd w:id="69"/>
    </w:p>
    <w:p>
      <w:pPr>
        <w:numPr>
          <w:ilvl w:val="0"/>
          <w:numId w:val="0"/>
        </w:numPr>
        <w:spacing w:line="360" w:lineRule="auto"/>
        <w:jc w:val="left"/>
        <w:rPr>
          <w:rFonts w:hint="eastAsia" w:hAnsi="宋体"/>
          <w:sz w:val="24"/>
          <w:szCs w:val="24"/>
        </w:rPr>
      </w:pPr>
      <w:bookmarkStart w:id="70" w:name="_Toc104974700"/>
      <w:bookmarkStart w:id="71" w:name="_Toc109222175"/>
      <w:bookmarkStart w:id="72" w:name="_Toc104974674"/>
      <w:r>
        <w:rPr>
          <w:rFonts w:hint="eastAsia" w:hAnsi="宋体"/>
          <w:sz w:val="24"/>
          <w:szCs w:val="24"/>
        </w:rPr>
        <w:t>项目管理要求</w:t>
      </w:r>
      <w:bookmarkEnd w:id="70"/>
      <w:bookmarkEnd w:id="71"/>
      <w:bookmarkEnd w:id="72"/>
    </w:p>
    <w:p>
      <w:pPr>
        <w:numPr>
          <w:ilvl w:val="0"/>
          <w:numId w:val="0"/>
        </w:numPr>
        <w:spacing w:line="360" w:lineRule="auto"/>
        <w:jc w:val="left"/>
        <w:rPr>
          <w:rFonts w:hint="eastAsia" w:hAnsi="宋体"/>
          <w:sz w:val="24"/>
          <w:szCs w:val="24"/>
        </w:rPr>
      </w:pPr>
      <w:r>
        <w:rPr>
          <w:rFonts w:hint="eastAsia" w:hAnsi="宋体"/>
          <w:sz w:val="24"/>
          <w:szCs w:val="24"/>
        </w:rPr>
        <w:t>投标方应具有健全的项目管理制度和流程，以及合格的项目实施人员，确保项目实施的顺利，同时做好项目建设过程中文档资料的管理。</w:t>
      </w:r>
    </w:p>
    <w:p>
      <w:pPr>
        <w:numPr>
          <w:ilvl w:val="0"/>
          <w:numId w:val="0"/>
        </w:numPr>
        <w:spacing w:line="360" w:lineRule="auto"/>
        <w:jc w:val="left"/>
        <w:rPr>
          <w:rFonts w:hint="eastAsia" w:hAnsi="宋体"/>
          <w:sz w:val="24"/>
          <w:szCs w:val="24"/>
        </w:rPr>
      </w:pPr>
      <w:r>
        <w:rPr>
          <w:rFonts w:hint="eastAsia" w:hAnsi="宋体"/>
          <w:sz w:val="24"/>
          <w:szCs w:val="24"/>
        </w:rPr>
        <w:t>要求投标方提供至少包含下列几方面的项目管理方案：</w:t>
      </w:r>
    </w:p>
    <w:p>
      <w:pPr>
        <w:numPr>
          <w:ilvl w:val="0"/>
          <w:numId w:val="0"/>
        </w:numPr>
        <w:spacing w:line="360" w:lineRule="auto"/>
        <w:jc w:val="left"/>
        <w:rPr>
          <w:rFonts w:hint="eastAsia"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项目工作小组；中标供应商应成立针对DIP项目的项目工作组</w:t>
      </w:r>
    </w:p>
    <w:p>
      <w:pPr>
        <w:numPr>
          <w:ilvl w:val="0"/>
          <w:numId w:val="0"/>
        </w:numPr>
        <w:spacing w:line="360" w:lineRule="auto"/>
        <w:jc w:val="left"/>
        <w:rPr>
          <w:rFonts w:hint="eastAsia" w:hAnsi="宋体"/>
          <w:sz w:val="24"/>
          <w:szCs w:val="24"/>
        </w:rPr>
      </w:pPr>
      <w:r>
        <w:rPr>
          <w:rFonts w:hint="eastAsia" w:hAnsi="宋体"/>
          <w:sz w:val="24"/>
          <w:szCs w:val="24"/>
        </w:rPr>
        <w:t>2)</w:t>
      </w:r>
      <w:r>
        <w:rPr>
          <w:rFonts w:hint="eastAsia" w:hAnsi="宋体"/>
          <w:sz w:val="24"/>
          <w:szCs w:val="24"/>
        </w:rPr>
        <w:tab/>
      </w:r>
      <w:r>
        <w:rPr>
          <w:rFonts w:hint="eastAsia" w:hAnsi="宋体"/>
          <w:sz w:val="24"/>
          <w:szCs w:val="24"/>
        </w:rPr>
        <w:t>项目签约后，项目实施期间供应商须提供常驻项目实施人员在医院现场工作，直至项目结束。整个项目实施期间，投标方项目人员作息时间同医院作息时间一致。</w:t>
      </w:r>
    </w:p>
    <w:p>
      <w:pPr>
        <w:numPr>
          <w:ilvl w:val="0"/>
          <w:numId w:val="0"/>
        </w:numPr>
        <w:spacing w:line="360" w:lineRule="auto"/>
        <w:jc w:val="left"/>
        <w:rPr>
          <w:rFonts w:hint="eastAsia" w:hAnsi="宋体"/>
          <w:sz w:val="24"/>
          <w:szCs w:val="24"/>
        </w:rPr>
      </w:pPr>
      <w:r>
        <w:rPr>
          <w:rFonts w:hint="eastAsia" w:hAnsi="宋体"/>
          <w:sz w:val="24"/>
          <w:szCs w:val="24"/>
        </w:rPr>
        <w:t>3)</w:t>
      </w:r>
      <w:r>
        <w:rPr>
          <w:rFonts w:hint="eastAsia" w:hAnsi="宋体"/>
          <w:sz w:val="24"/>
          <w:szCs w:val="24"/>
        </w:rPr>
        <w:tab/>
      </w:r>
      <w:r>
        <w:rPr>
          <w:rFonts w:hint="eastAsia" w:hAnsi="宋体"/>
          <w:sz w:val="24"/>
          <w:szCs w:val="24"/>
        </w:rPr>
        <w:t>项目实施期间，投标方须依据合同规定保证项目管理、开发和实施人员的对本项目的工作时间和地点，上述人员在双方合同内确认后，未经甲方书面同意，不得进行人员变更。</w:t>
      </w:r>
    </w:p>
    <w:p>
      <w:pPr>
        <w:numPr>
          <w:ilvl w:val="0"/>
          <w:numId w:val="0"/>
        </w:numPr>
        <w:spacing w:line="360" w:lineRule="auto"/>
        <w:jc w:val="left"/>
        <w:rPr>
          <w:rFonts w:hint="eastAsia" w:hAnsi="宋体"/>
          <w:sz w:val="24"/>
          <w:szCs w:val="24"/>
        </w:rPr>
      </w:pPr>
      <w:r>
        <w:rPr>
          <w:rFonts w:hint="eastAsia" w:hAnsi="宋体"/>
          <w:sz w:val="24"/>
          <w:szCs w:val="24"/>
        </w:rPr>
        <w:t>4)</w:t>
      </w:r>
      <w:r>
        <w:rPr>
          <w:rFonts w:hint="eastAsia" w:hAnsi="宋体"/>
          <w:sz w:val="24"/>
          <w:szCs w:val="24"/>
        </w:rPr>
        <w:tab/>
      </w:r>
      <w:r>
        <w:rPr>
          <w:rFonts w:hint="eastAsia" w:hAnsi="宋体"/>
          <w:sz w:val="24"/>
          <w:szCs w:val="24"/>
        </w:rPr>
        <w:t>文档资料管理；提供完善的文档资料管理方案。</w:t>
      </w:r>
    </w:p>
    <w:p>
      <w:pPr>
        <w:numPr>
          <w:ilvl w:val="0"/>
          <w:numId w:val="0"/>
        </w:numPr>
        <w:spacing w:line="360" w:lineRule="auto"/>
        <w:jc w:val="left"/>
        <w:rPr>
          <w:rFonts w:hint="eastAsia" w:hAnsi="宋体"/>
          <w:sz w:val="24"/>
          <w:szCs w:val="24"/>
        </w:rPr>
      </w:pPr>
      <w:bookmarkStart w:id="73" w:name="_Toc104974701"/>
      <w:bookmarkStart w:id="74" w:name="_Toc109222176"/>
      <w:bookmarkStart w:id="75" w:name="_Toc104974675"/>
      <w:r>
        <w:rPr>
          <w:rFonts w:hint="eastAsia" w:hAnsi="宋体"/>
          <w:sz w:val="24"/>
          <w:szCs w:val="24"/>
        </w:rPr>
        <w:t>项目实施要求</w:t>
      </w:r>
      <w:bookmarkEnd w:id="73"/>
      <w:bookmarkEnd w:id="74"/>
      <w:bookmarkEnd w:id="75"/>
    </w:p>
    <w:p>
      <w:pPr>
        <w:numPr>
          <w:ilvl w:val="0"/>
          <w:numId w:val="0"/>
        </w:numPr>
        <w:spacing w:line="360" w:lineRule="auto"/>
        <w:jc w:val="left"/>
        <w:rPr>
          <w:rFonts w:hint="eastAsia" w:hAnsi="宋体"/>
          <w:sz w:val="24"/>
          <w:szCs w:val="24"/>
        </w:rPr>
      </w:pPr>
      <w:r>
        <w:rPr>
          <w:rFonts w:hint="eastAsia" w:hAnsi="宋体"/>
          <w:sz w:val="24"/>
          <w:szCs w:val="24"/>
        </w:rPr>
        <w:t>由于本项目建设涉及的系统和模块众多，用户范围广泛；如果要在短期内见到建设效果，需要制定科学、周密的实施计划，系统实施要求不同的主线同时展开，中标方在项目实施前，必须向业主方提交详细的项目实施计划，待业主方确认后方可开始实施。</w:t>
      </w:r>
    </w:p>
    <w:p>
      <w:pPr>
        <w:numPr>
          <w:ilvl w:val="0"/>
          <w:numId w:val="0"/>
        </w:numPr>
        <w:spacing w:line="360" w:lineRule="auto"/>
        <w:jc w:val="left"/>
        <w:rPr>
          <w:rFonts w:hint="eastAsia" w:hAnsi="宋体"/>
          <w:sz w:val="24"/>
          <w:szCs w:val="24"/>
        </w:rPr>
      </w:pPr>
      <w:bookmarkStart w:id="76" w:name="_Toc109222177"/>
      <w:r>
        <w:rPr>
          <w:rFonts w:hint="eastAsia" w:hAnsi="宋体"/>
          <w:sz w:val="24"/>
          <w:szCs w:val="24"/>
        </w:rPr>
        <w:t>交付周期要求</w:t>
      </w:r>
      <w:bookmarkEnd w:id="76"/>
    </w:p>
    <w:p>
      <w:pPr>
        <w:numPr>
          <w:ilvl w:val="0"/>
          <w:numId w:val="0"/>
        </w:numPr>
        <w:spacing w:line="360" w:lineRule="auto"/>
        <w:jc w:val="left"/>
        <w:rPr>
          <w:rFonts w:hint="eastAsia" w:hAnsi="宋体"/>
          <w:sz w:val="24"/>
          <w:szCs w:val="24"/>
        </w:rPr>
      </w:pPr>
      <w:r>
        <w:rPr>
          <w:rFonts w:hint="eastAsia" w:hAnsi="宋体"/>
          <w:sz w:val="24"/>
          <w:szCs w:val="24"/>
        </w:rPr>
        <w:t>从合同签订后到全部软件实施完成并交付试运行，实施周期为三个月。</w:t>
      </w:r>
    </w:p>
    <w:p>
      <w:pPr>
        <w:numPr>
          <w:ilvl w:val="0"/>
          <w:numId w:val="0"/>
        </w:numPr>
        <w:spacing w:line="360" w:lineRule="auto"/>
        <w:jc w:val="left"/>
        <w:rPr>
          <w:rFonts w:hint="eastAsia" w:hAnsi="宋体"/>
          <w:sz w:val="24"/>
          <w:szCs w:val="24"/>
        </w:rPr>
      </w:pPr>
      <w:bookmarkStart w:id="77" w:name="_Toc109222178"/>
      <w:r>
        <w:rPr>
          <w:rFonts w:hint="eastAsia" w:hAnsi="宋体"/>
          <w:sz w:val="24"/>
          <w:szCs w:val="24"/>
        </w:rPr>
        <w:t>实施团队</w:t>
      </w:r>
      <w:bookmarkEnd w:id="77"/>
    </w:p>
    <w:p>
      <w:pPr>
        <w:numPr>
          <w:ilvl w:val="0"/>
          <w:numId w:val="0"/>
        </w:numPr>
        <w:spacing w:line="360" w:lineRule="auto"/>
        <w:jc w:val="left"/>
        <w:rPr>
          <w:rFonts w:hint="eastAsia" w:hAnsi="宋体"/>
          <w:sz w:val="24"/>
          <w:szCs w:val="24"/>
        </w:rPr>
      </w:pPr>
      <w:r>
        <w:rPr>
          <w:rFonts w:hint="eastAsia" w:hAnsi="宋体"/>
          <w:sz w:val="24"/>
          <w:szCs w:val="24"/>
        </w:rPr>
        <w:t>提供实施团队的组成，实施团队成员应具有在同类项目的实施经历，此外本项目的项目经理同时具有高级信息系统项目管理师、高级系统架构设计师、高级系统分析师证书（需附简历备注）。</w:t>
      </w:r>
    </w:p>
    <w:p>
      <w:pPr>
        <w:numPr>
          <w:ilvl w:val="0"/>
          <w:numId w:val="0"/>
        </w:numPr>
        <w:spacing w:line="360" w:lineRule="auto"/>
        <w:jc w:val="left"/>
        <w:rPr>
          <w:rFonts w:hint="eastAsia" w:hAnsi="宋体"/>
          <w:sz w:val="24"/>
          <w:szCs w:val="24"/>
        </w:rPr>
      </w:pPr>
      <w:bookmarkStart w:id="78" w:name="_Toc109222179"/>
      <w:r>
        <w:rPr>
          <w:rFonts w:hint="eastAsia" w:hAnsi="宋体"/>
          <w:sz w:val="24"/>
          <w:szCs w:val="24"/>
        </w:rPr>
        <w:t>实施方案</w:t>
      </w:r>
      <w:bookmarkEnd w:id="78"/>
    </w:p>
    <w:p>
      <w:pPr>
        <w:numPr>
          <w:ilvl w:val="0"/>
          <w:numId w:val="0"/>
        </w:numPr>
        <w:spacing w:line="360" w:lineRule="auto"/>
        <w:jc w:val="left"/>
        <w:rPr>
          <w:rFonts w:hint="eastAsia" w:hAnsi="宋体"/>
          <w:sz w:val="24"/>
          <w:szCs w:val="24"/>
        </w:rPr>
      </w:pPr>
      <w:r>
        <w:rPr>
          <w:rFonts w:hint="eastAsia" w:hAnsi="宋体"/>
          <w:sz w:val="24"/>
          <w:szCs w:val="24"/>
        </w:rPr>
        <w:t>提供完整、可行的实施方案和实施计划以确保项目按时交付上线。方案中要求中标人根据项目建设单位的实际情况，科学合理的定出集成实施的时间表。</w:t>
      </w:r>
    </w:p>
    <w:p>
      <w:pPr>
        <w:numPr>
          <w:ilvl w:val="0"/>
          <w:numId w:val="0"/>
        </w:numPr>
        <w:spacing w:line="360" w:lineRule="auto"/>
        <w:jc w:val="left"/>
        <w:rPr>
          <w:rFonts w:hint="eastAsia" w:hAnsi="宋体"/>
          <w:sz w:val="24"/>
          <w:szCs w:val="24"/>
        </w:rPr>
      </w:pPr>
      <w:r>
        <w:rPr>
          <w:rFonts w:hint="eastAsia" w:hAnsi="宋体"/>
          <w:sz w:val="24"/>
          <w:szCs w:val="24"/>
        </w:rPr>
        <w:t>对项目实施的各个阶段：需求分析阶段、系统配置、系统集成实施准备阶段、系统培训阶段、系统部署阶段、系统初验测试阶段、系统试运行阶段、系统终验阶段的进度做出详细的计划。</w:t>
      </w:r>
    </w:p>
    <w:p>
      <w:pPr>
        <w:numPr>
          <w:ilvl w:val="0"/>
          <w:numId w:val="0"/>
        </w:numPr>
        <w:spacing w:line="360" w:lineRule="auto"/>
        <w:jc w:val="left"/>
        <w:rPr>
          <w:rFonts w:hint="eastAsia" w:hAnsi="宋体"/>
          <w:sz w:val="24"/>
          <w:szCs w:val="24"/>
        </w:rPr>
      </w:pPr>
      <w:r>
        <w:rPr>
          <w:rFonts w:hint="eastAsia" w:hAnsi="宋体"/>
          <w:sz w:val="24"/>
          <w:szCs w:val="24"/>
        </w:rPr>
        <w:t>对项目实施的进度计划及控制中各阶段中投标人所要做的工作及保障措施做出详细安排。</w:t>
      </w:r>
    </w:p>
    <w:p>
      <w:pPr>
        <w:numPr>
          <w:ilvl w:val="0"/>
          <w:numId w:val="0"/>
        </w:numPr>
        <w:spacing w:line="360" w:lineRule="auto"/>
        <w:jc w:val="left"/>
        <w:rPr>
          <w:rFonts w:hint="eastAsia" w:hAnsi="宋体"/>
          <w:sz w:val="24"/>
          <w:szCs w:val="24"/>
        </w:rPr>
      </w:pPr>
      <w:bookmarkStart w:id="79" w:name="_Toc109222180"/>
      <w:r>
        <w:rPr>
          <w:rFonts w:hint="eastAsia" w:hAnsi="宋体"/>
          <w:sz w:val="24"/>
          <w:szCs w:val="24"/>
        </w:rPr>
        <w:t>质量保障</w:t>
      </w:r>
      <w:bookmarkEnd w:id="79"/>
    </w:p>
    <w:p>
      <w:pPr>
        <w:numPr>
          <w:ilvl w:val="0"/>
          <w:numId w:val="0"/>
        </w:numPr>
        <w:spacing w:line="360" w:lineRule="auto"/>
        <w:jc w:val="left"/>
        <w:rPr>
          <w:rFonts w:hint="eastAsia" w:hAnsi="宋体"/>
          <w:sz w:val="24"/>
          <w:szCs w:val="24"/>
        </w:rPr>
      </w:pPr>
      <w:r>
        <w:rPr>
          <w:rFonts w:hint="eastAsia" w:hAnsi="宋体"/>
          <w:sz w:val="24"/>
          <w:szCs w:val="24"/>
        </w:rPr>
        <w:t>中标人须提出项目实施中的集成技术设计、设备采购、系统开发、安装调试和项目售后服务的全过程质量管理及控制提出具体措施，并提出质量保障目标的承诺。</w:t>
      </w:r>
    </w:p>
    <w:p>
      <w:pPr>
        <w:numPr>
          <w:ilvl w:val="0"/>
          <w:numId w:val="0"/>
        </w:numPr>
        <w:spacing w:line="360" w:lineRule="auto"/>
        <w:jc w:val="left"/>
        <w:rPr>
          <w:rFonts w:hint="eastAsia" w:hAnsi="宋体"/>
          <w:sz w:val="24"/>
          <w:szCs w:val="24"/>
        </w:rPr>
      </w:pPr>
      <w:r>
        <w:rPr>
          <w:rFonts w:hint="eastAsia" w:hAnsi="宋体"/>
          <w:sz w:val="24"/>
          <w:szCs w:val="24"/>
        </w:rPr>
        <w:t>要求中标人对本项目的工程实施进行风险控制。</w:t>
      </w:r>
    </w:p>
    <w:p>
      <w:pPr>
        <w:numPr>
          <w:ilvl w:val="0"/>
          <w:numId w:val="0"/>
        </w:numPr>
        <w:spacing w:line="360" w:lineRule="auto"/>
        <w:jc w:val="left"/>
        <w:rPr>
          <w:rFonts w:hint="eastAsia" w:hAnsi="宋体"/>
          <w:sz w:val="24"/>
          <w:szCs w:val="24"/>
        </w:rPr>
      </w:pPr>
      <w:bookmarkStart w:id="80" w:name="_Toc104974676"/>
      <w:bookmarkStart w:id="81" w:name="_Toc109222181"/>
      <w:bookmarkStart w:id="82" w:name="_Toc104974702"/>
      <w:r>
        <w:rPr>
          <w:rFonts w:hint="eastAsia" w:hAnsi="宋体"/>
          <w:sz w:val="24"/>
          <w:szCs w:val="24"/>
        </w:rPr>
        <w:t>项目培训要求</w:t>
      </w:r>
      <w:bookmarkEnd w:id="80"/>
      <w:bookmarkEnd w:id="81"/>
      <w:bookmarkEnd w:id="82"/>
    </w:p>
    <w:p>
      <w:pPr>
        <w:numPr>
          <w:ilvl w:val="0"/>
          <w:numId w:val="0"/>
        </w:numPr>
        <w:spacing w:line="360" w:lineRule="auto"/>
        <w:jc w:val="left"/>
        <w:rPr>
          <w:rFonts w:hint="eastAsia" w:hAnsi="宋体"/>
          <w:sz w:val="24"/>
          <w:szCs w:val="24"/>
        </w:rPr>
      </w:pPr>
      <w:bookmarkStart w:id="83" w:name="_Toc109222182"/>
      <w:r>
        <w:rPr>
          <w:rFonts w:hint="eastAsia" w:hAnsi="宋体"/>
          <w:sz w:val="24"/>
          <w:szCs w:val="24"/>
        </w:rPr>
        <w:t>培训计划</w:t>
      </w:r>
      <w:bookmarkEnd w:id="83"/>
    </w:p>
    <w:p>
      <w:pPr>
        <w:numPr>
          <w:ilvl w:val="0"/>
          <w:numId w:val="0"/>
        </w:numPr>
        <w:spacing w:line="360" w:lineRule="auto"/>
        <w:jc w:val="left"/>
        <w:rPr>
          <w:rFonts w:hint="eastAsia" w:hAnsi="宋体"/>
          <w:sz w:val="24"/>
          <w:szCs w:val="24"/>
        </w:rPr>
      </w:pPr>
      <w:r>
        <w:rPr>
          <w:rFonts w:hint="eastAsia" w:hAnsi="宋体"/>
          <w:sz w:val="24"/>
          <w:szCs w:val="24"/>
        </w:rPr>
        <w:t>投标方应负责使用人员的培训及考核。并在项目实施后继续按照医院要求继续定期培训和考核。投标方应提供完整的培训方案，所有的培训费用包含在投标总价内。</w:t>
      </w:r>
    </w:p>
    <w:p>
      <w:pPr>
        <w:numPr>
          <w:ilvl w:val="0"/>
          <w:numId w:val="0"/>
        </w:numPr>
        <w:spacing w:line="360" w:lineRule="auto"/>
        <w:jc w:val="left"/>
        <w:rPr>
          <w:rFonts w:hint="eastAsia" w:hAnsi="宋体"/>
          <w:sz w:val="24"/>
          <w:szCs w:val="24"/>
        </w:rPr>
      </w:pPr>
      <w:bookmarkStart w:id="84" w:name="_Toc109222183"/>
      <w:r>
        <w:rPr>
          <w:rFonts w:hint="eastAsia" w:hAnsi="宋体"/>
          <w:sz w:val="24"/>
          <w:szCs w:val="24"/>
        </w:rPr>
        <w:t>培训对象</w:t>
      </w:r>
      <w:bookmarkEnd w:id="84"/>
    </w:p>
    <w:p>
      <w:pPr>
        <w:numPr>
          <w:ilvl w:val="0"/>
          <w:numId w:val="0"/>
        </w:numPr>
        <w:spacing w:line="360" w:lineRule="auto"/>
        <w:jc w:val="left"/>
        <w:rPr>
          <w:rFonts w:hint="eastAsia" w:hAnsi="宋体"/>
          <w:sz w:val="24"/>
          <w:szCs w:val="24"/>
        </w:rPr>
      </w:pPr>
      <w:r>
        <w:rPr>
          <w:rFonts w:hint="eastAsia" w:hAnsi="宋体"/>
          <w:sz w:val="24"/>
          <w:szCs w:val="24"/>
        </w:rPr>
        <w:t>培训对象包括高级技术人员（即信息科系统管理员）、初级技术人员（如日常维护人员、技术层面人员等），医护人员（如非信息科的管理人员、操作员等）。</w:t>
      </w:r>
    </w:p>
    <w:p>
      <w:pPr>
        <w:numPr>
          <w:ilvl w:val="0"/>
          <w:numId w:val="0"/>
        </w:numPr>
        <w:spacing w:line="360" w:lineRule="auto"/>
        <w:jc w:val="left"/>
        <w:rPr>
          <w:rFonts w:hint="eastAsia" w:hAnsi="宋体"/>
          <w:sz w:val="24"/>
          <w:szCs w:val="24"/>
        </w:rPr>
      </w:pPr>
      <w:r>
        <w:rPr>
          <w:rFonts w:hint="eastAsia" w:hAnsi="宋体"/>
          <w:sz w:val="24"/>
          <w:szCs w:val="24"/>
        </w:rPr>
        <w:t>（1）初级培训可使得系统维护人员能够顺利地完成日常的维护工作，保证系统的正常运行。</w:t>
      </w:r>
    </w:p>
    <w:p>
      <w:pPr>
        <w:numPr>
          <w:ilvl w:val="0"/>
          <w:numId w:val="0"/>
        </w:numPr>
        <w:spacing w:line="360" w:lineRule="auto"/>
        <w:jc w:val="left"/>
        <w:rPr>
          <w:rFonts w:hint="eastAsia" w:hAnsi="宋体"/>
          <w:sz w:val="24"/>
          <w:szCs w:val="24"/>
        </w:rPr>
      </w:pPr>
      <w:r>
        <w:rPr>
          <w:rFonts w:hint="eastAsia" w:hAnsi="宋体"/>
          <w:sz w:val="24"/>
          <w:szCs w:val="24"/>
        </w:rPr>
        <w:t>（2）高级培训应使得高级技术人员对本业务支撑系统的运行机制有着清晰明确的认识，并能够高效及时地解决系统突发运行故障，能对系统进行二次开发。</w:t>
      </w:r>
    </w:p>
    <w:p>
      <w:pPr>
        <w:numPr>
          <w:ilvl w:val="0"/>
          <w:numId w:val="0"/>
        </w:numPr>
        <w:spacing w:line="360" w:lineRule="auto"/>
        <w:jc w:val="left"/>
        <w:rPr>
          <w:rFonts w:hint="eastAsia" w:hAnsi="宋体"/>
          <w:sz w:val="24"/>
          <w:szCs w:val="24"/>
        </w:rPr>
      </w:pPr>
      <w:r>
        <w:rPr>
          <w:rFonts w:hint="eastAsia" w:hAnsi="宋体"/>
          <w:sz w:val="24"/>
          <w:szCs w:val="24"/>
        </w:rPr>
        <w:t>（3）操作培训可让医院人员熟练使用本系统软件。</w:t>
      </w:r>
    </w:p>
    <w:p>
      <w:pPr>
        <w:numPr>
          <w:ilvl w:val="0"/>
          <w:numId w:val="0"/>
        </w:numPr>
        <w:spacing w:line="360" w:lineRule="auto"/>
        <w:jc w:val="left"/>
        <w:rPr>
          <w:rFonts w:hint="eastAsia" w:hAnsi="宋体"/>
          <w:sz w:val="24"/>
          <w:szCs w:val="24"/>
        </w:rPr>
      </w:pPr>
      <w:bookmarkStart w:id="85" w:name="_Toc109222184"/>
      <w:r>
        <w:rPr>
          <w:rFonts w:hint="eastAsia" w:hAnsi="宋体"/>
          <w:sz w:val="24"/>
          <w:szCs w:val="24"/>
        </w:rPr>
        <w:t>培训内容</w:t>
      </w:r>
      <w:bookmarkEnd w:id="85"/>
    </w:p>
    <w:p>
      <w:pPr>
        <w:numPr>
          <w:ilvl w:val="0"/>
          <w:numId w:val="0"/>
        </w:numPr>
        <w:spacing w:line="360" w:lineRule="auto"/>
        <w:jc w:val="left"/>
        <w:rPr>
          <w:rFonts w:hint="eastAsia" w:hAnsi="宋体"/>
          <w:sz w:val="24"/>
          <w:szCs w:val="24"/>
        </w:rPr>
      </w:pPr>
      <w:r>
        <w:rPr>
          <w:rFonts w:hint="eastAsia" w:hAnsi="宋体"/>
          <w:sz w:val="24"/>
          <w:szCs w:val="24"/>
        </w:rPr>
        <w:t>为了让用户更好地对系统进行管理和维护，中标厂商需对相关技术人员和管理员用户分别进行全面的培训，系统管理人员培训内容为系统中涉及的相关技术内容；管理人员培训内容为系统流程和相关管理思想；技术人员为系统的操作技术培训，使其在各个层次上掌握应用软件系统的操作、系统配置、运营、故障处理及日常测试维护，从而确保全网能正常安全的运行。</w:t>
      </w:r>
    </w:p>
    <w:p>
      <w:pPr>
        <w:numPr>
          <w:ilvl w:val="0"/>
          <w:numId w:val="0"/>
        </w:numPr>
        <w:spacing w:line="360" w:lineRule="auto"/>
        <w:jc w:val="left"/>
        <w:rPr>
          <w:rFonts w:hint="eastAsia" w:hAnsi="宋体"/>
          <w:sz w:val="24"/>
          <w:szCs w:val="24"/>
        </w:rPr>
      </w:pPr>
      <w:r>
        <w:rPr>
          <w:rFonts w:hint="eastAsia" w:hAnsi="宋体"/>
          <w:sz w:val="24"/>
          <w:szCs w:val="24"/>
        </w:rPr>
        <w:t>培训内容包含下列几个方面：</w:t>
      </w:r>
    </w:p>
    <w:p>
      <w:pPr>
        <w:numPr>
          <w:ilvl w:val="0"/>
          <w:numId w:val="0"/>
        </w:numPr>
        <w:spacing w:line="360" w:lineRule="auto"/>
        <w:jc w:val="left"/>
        <w:rPr>
          <w:rFonts w:hint="eastAsia" w:hAnsi="宋体"/>
          <w:sz w:val="24"/>
          <w:szCs w:val="24"/>
        </w:rPr>
      </w:pPr>
      <w:r>
        <w:rPr>
          <w:rFonts w:hint="eastAsia" w:hAnsi="宋体"/>
          <w:sz w:val="24"/>
          <w:szCs w:val="24"/>
        </w:rPr>
        <w:t>（1）系统软件的用户使用培训，应用软件操作培训；</w:t>
      </w:r>
    </w:p>
    <w:p>
      <w:pPr>
        <w:numPr>
          <w:ilvl w:val="0"/>
          <w:numId w:val="0"/>
        </w:numPr>
        <w:spacing w:line="360" w:lineRule="auto"/>
        <w:jc w:val="left"/>
        <w:rPr>
          <w:rFonts w:hint="eastAsia" w:hAnsi="宋体"/>
          <w:sz w:val="24"/>
          <w:szCs w:val="24"/>
        </w:rPr>
      </w:pPr>
      <w:r>
        <w:rPr>
          <w:rFonts w:hint="eastAsia" w:hAnsi="宋体"/>
          <w:sz w:val="24"/>
          <w:szCs w:val="24"/>
        </w:rPr>
        <w:t>（2）系统管理培训、甲方技术人员开发维护培训；</w:t>
      </w:r>
    </w:p>
    <w:p>
      <w:pPr>
        <w:numPr>
          <w:ilvl w:val="0"/>
          <w:numId w:val="0"/>
        </w:numPr>
        <w:spacing w:line="360" w:lineRule="auto"/>
        <w:jc w:val="left"/>
        <w:rPr>
          <w:rFonts w:hint="eastAsia" w:hAnsi="宋体"/>
          <w:sz w:val="24"/>
          <w:szCs w:val="24"/>
        </w:rPr>
      </w:pPr>
      <w:r>
        <w:rPr>
          <w:rFonts w:hint="eastAsia" w:hAnsi="宋体"/>
          <w:sz w:val="24"/>
          <w:szCs w:val="24"/>
        </w:rPr>
        <w:t>（3）应用软件操作疑难问题解答；</w:t>
      </w:r>
    </w:p>
    <w:p>
      <w:pPr>
        <w:numPr>
          <w:ilvl w:val="0"/>
          <w:numId w:val="0"/>
        </w:numPr>
        <w:spacing w:line="360" w:lineRule="auto"/>
        <w:jc w:val="left"/>
        <w:rPr>
          <w:rFonts w:hint="eastAsia" w:hAnsi="宋体"/>
          <w:sz w:val="24"/>
          <w:szCs w:val="24"/>
        </w:rPr>
      </w:pPr>
      <w:r>
        <w:rPr>
          <w:rFonts w:hint="eastAsia" w:hAnsi="宋体"/>
          <w:sz w:val="24"/>
          <w:szCs w:val="24"/>
        </w:rPr>
        <w:t>（4）第三方支撑软件（如数据库、操作系统、集成平台）的使用、开发、维护培训。</w:t>
      </w:r>
    </w:p>
    <w:p>
      <w:pPr>
        <w:numPr>
          <w:ilvl w:val="0"/>
          <w:numId w:val="0"/>
        </w:numPr>
        <w:spacing w:line="360" w:lineRule="auto"/>
        <w:jc w:val="left"/>
        <w:rPr>
          <w:rFonts w:hint="eastAsia" w:hAnsi="宋体"/>
          <w:sz w:val="24"/>
          <w:szCs w:val="24"/>
        </w:rPr>
      </w:pPr>
      <w:bookmarkStart w:id="86" w:name="_Toc109222185"/>
      <w:bookmarkStart w:id="87" w:name="_Toc104974677"/>
      <w:bookmarkStart w:id="88" w:name="_Toc104974703"/>
      <w:r>
        <w:rPr>
          <w:rFonts w:hint="eastAsia" w:hAnsi="宋体"/>
          <w:sz w:val="24"/>
          <w:szCs w:val="24"/>
        </w:rPr>
        <w:t>项目验收要求</w:t>
      </w:r>
      <w:bookmarkEnd w:id="86"/>
      <w:bookmarkEnd w:id="87"/>
      <w:bookmarkEnd w:id="88"/>
    </w:p>
    <w:p>
      <w:pPr>
        <w:numPr>
          <w:ilvl w:val="0"/>
          <w:numId w:val="0"/>
        </w:numPr>
        <w:spacing w:line="360" w:lineRule="auto"/>
        <w:jc w:val="left"/>
        <w:rPr>
          <w:rFonts w:hint="eastAsia" w:hAnsi="宋体"/>
          <w:sz w:val="24"/>
          <w:szCs w:val="24"/>
        </w:rPr>
      </w:pPr>
      <w:r>
        <w:rPr>
          <w:rFonts w:hint="eastAsia" w:hAnsi="宋体"/>
          <w:sz w:val="24"/>
          <w:szCs w:val="24"/>
        </w:rPr>
        <w:t xml:space="preserve">项目验收，是项目开发建设中有组织的主动性行为，它是对项目建设高度负责的体现，也是项目建设成功的重要保证。切实做好项目建设中的验收工作至关重要，应当采取有效措施，实实在在做好。为保证项目验收质量，针对不同的验收内容，在实施验收操作中，采取以下的方法： </w:t>
      </w:r>
    </w:p>
    <w:p>
      <w:pPr>
        <w:numPr>
          <w:ilvl w:val="0"/>
          <w:numId w:val="0"/>
        </w:numPr>
        <w:spacing w:line="360" w:lineRule="auto"/>
        <w:jc w:val="left"/>
        <w:rPr>
          <w:rFonts w:hint="eastAsia" w:hAnsi="宋体"/>
          <w:sz w:val="24"/>
          <w:szCs w:val="24"/>
        </w:rPr>
      </w:pPr>
      <w:r>
        <w:rPr>
          <w:rFonts w:hint="eastAsia" w:hAnsi="宋体"/>
          <w:sz w:val="24"/>
          <w:szCs w:val="24"/>
        </w:rPr>
        <w:t>对照检查项目各项建设内容的结果是否与合同条款及工程实施方案相一致。</w:t>
      </w:r>
    </w:p>
    <w:p>
      <w:pPr>
        <w:numPr>
          <w:ilvl w:val="0"/>
          <w:numId w:val="0"/>
        </w:numPr>
        <w:spacing w:line="360" w:lineRule="auto"/>
        <w:jc w:val="left"/>
        <w:rPr>
          <w:rFonts w:hint="eastAsia" w:hAnsi="宋体"/>
          <w:sz w:val="24"/>
          <w:szCs w:val="24"/>
        </w:rPr>
      </w:pPr>
      <w:r>
        <w:rPr>
          <w:rFonts w:hint="eastAsia" w:hAnsi="宋体"/>
          <w:sz w:val="24"/>
          <w:szCs w:val="24"/>
        </w:rPr>
        <w:t>对项目中所涉及的所有软件和应用程序一一登记，软件使用手册、应用程序各种技术文档等是否登记、造册和整理完整，并妥善保存。对项目建设中根据实际进展情况双方同意后修订的合同条款、协调开发建设中的问题和变更记录进行记录和执行情况。</w:t>
      </w:r>
    </w:p>
    <w:p>
      <w:pPr>
        <w:numPr>
          <w:ilvl w:val="0"/>
          <w:numId w:val="0"/>
        </w:numPr>
        <w:spacing w:line="360" w:lineRule="auto"/>
        <w:jc w:val="left"/>
        <w:rPr>
          <w:rFonts w:hint="eastAsia" w:hAnsi="宋体"/>
          <w:sz w:val="24"/>
          <w:szCs w:val="24"/>
        </w:rPr>
      </w:pPr>
      <w:r>
        <w:rPr>
          <w:rFonts w:hint="eastAsia" w:hAnsi="宋体"/>
          <w:sz w:val="24"/>
          <w:szCs w:val="24"/>
        </w:rPr>
        <w:t>运行项目系统软件，检验应用软件的实际能力是否与合同规定的一致。</w:t>
      </w:r>
    </w:p>
    <w:p>
      <w:pPr>
        <w:numPr>
          <w:ilvl w:val="0"/>
          <w:numId w:val="0"/>
        </w:numPr>
        <w:spacing w:line="360" w:lineRule="auto"/>
        <w:jc w:val="left"/>
        <w:rPr>
          <w:rFonts w:hint="eastAsia" w:hAnsi="宋体"/>
          <w:sz w:val="24"/>
          <w:szCs w:val="24"/>
        </w:rPr>
      </w:pPr>
      <w:r>
        <w:rPr>
          <w:rFonts w:hint="eastAsia" w:hAnsi="宋体"/>
          <w:sz w:val="24"/>
          <w:szCs w:val="24"/>
        </w:rPr>
        <w:t>应用软件的实际操作和处理业务，是否在实际环境中正常运行，是否与合同规定的一致，达到了预期的目的。</w:t>
      </w:r>
    </w:p>
    <w:p>
      <w:pPr>
        <w:numPr>
          <w:ilvl w:val="0"/>
          <w:numId w:val="0"/>
        </w:numPr>
        <w:spacing w:line="360" w:lineRule="auto"/>
        <w:jc w:val="left"/>
        <w:rPr>
          <w:rFonts w:hint="eastAsia" w:hAnsi="宋体"/>
          <w:sz w:val="24"/>
          <w:szCs w:val="24"/>
        </w:rPr>
      </w:pPr>
      <w:r>
        <w:rPr>
          <w:rFonts w:hint="eastAsia" w:hAnsi="宋体"/>
          <w:sz w:val="24"/>
          <w:szCs w:val="24"/>
        </w:rPr>
        <w:t>项目实施和验收过程对中标人提出如下要求：</w:t>
      </w:r>
    </w:p>
    <w:p>
      <w:pPr>
        <w:numPr>
          <w:ilvl w:val="0"/>
          <w:numId w:val="0"/>
        </w:numPr>
        <w:spacing w:line="360" w:lineRule="auto"/>
        <w:jc w:val="left"/>
        <w:rPr>
          <w:rFonts w:hint="eastAsia"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系统集成安装时，中标人应提供设备的最新型号和软件的最新版本。</w:t>
      </w:r>
    </w:p>
    <w:p>
      <w:pPr>
        <w:numPr>
          <w:ilvl w:val="0"/>
          <w:numId w:val="0"/>
        </w:numPr>
        <w:spacing w:line="360" w:lineRule="auto"/>
        <w:jc w:val="left"/>
        <w:rPr>
          <w:rFonts w:hint="eastAsia" w:hAnsi="宋体"/>
          <w:sz w:val="24"/>
          <w:szCs w:val="24"/>
        </w:rPr>
      </w:pPr>
      <w:r>
        <w:rPr>
          <w:rFonts w:hint="eastAsia" w:hAnsi="宋体"/>
          <w:sz w:val="24"/>
          <w:szCs w:val="24"/>
        </w:rPr>
        <w:t>2)</w:t>
      </w:r>
      <w:r>
        <w:rPr>
          <w:rFonts w:hint="eastAsia" w:hAnsi="宋体"/>
          <w:sz w:val="24"/>
          <w:szCs w:val="24"/>
        </w:rPr>
        <w:tab/>
      </w:r>
      <w:r>
        <w:rPr>
          <w:rFonts w:hint="eastAsia" w:hAnsi="宋体"/>
          <w:sz w:val="24"/>
          <w:szCs w:val="24"/>
        </w:rPr>
        <w:t>中标人必须在合同规定的时间内，以完工验收申请报告形式书面通知招标人以声明整个系统完毕，招标人确认申请报告的第三个工作日为验收测试开始日。</w:t>
      </w:r>
    </w:p>
    <w:p>
      <w:pPr>
        <w:numPr>
          <w:ilvl w:val="0"/>
          <w:numId w:val="0"/>
        </w:numPr>
        <w:spacing w:line="360" w:lineRule="auto"/>
        <w:jc w:val="left"/>
        <w:rPr>
          <w:rFonts w:hint="eastAsia" w:hAnsi="宋体"/>
          <w:sz w:val="24"/>
          <w:szCs w:val="24"/>
        </w:rPr>
      </w:pPr>
      <w:r>
        <w:rPr>
          <w:rFonts w:hint="eastAsia" w:hAnsi="宋体"/>
          <w:sz w:val="24"/>
          <w:szCs w:val="24"/>
        </w:rPr>
        <w:t>3)</w:t>
      </w:r>
      <w:r>
        <w:rPr>
          <w:rFonts w:hint="eastAsia" w:hAnsi="宋体"/>
          <w:sz w:val="24"/>
          <w:szCs w:val="24"/>
        </w:rPr>
        <w:tab/>
      </w:r>
      <w:r>
        <w:rPr>
          <w:rFonts w:hint="eastAsia" w:hAnsi="宋体"/>
          <w:sz w:val="24"/>
          <w:szCs w:val="24"/>
        </w:rPr>
        <w:t>招标人与中标人一起对整个系统集成依据合同要求进行检查测试；对集成的每一部分进行诊断，并对系统进行48小时测试。</w:t>
      </w:r>
    </w:p>
    <w:p>
      <w:pPr>
        <w:numPr>
          <w:ilvl w:val="0"/>
          <w:numId w:val="0"/>
        </w:numPr>
        <w:spacing w:line="360" w:lineRule="auto"/>
        <w:jc w:val="left"/>
        <w:rPr>
          <w:rFonts w:hint="eastAsia" w:hAnsi="宋体"/>
          <w:sz w:val="24"/>
          <w:szCs w:val="24"/>
        </w:rPr>
      </w:pPr>
      <w:r>
        <w:rPr>
          <w:rFonts w:hint="eastAsia" w:hAnsi="宋体"/>
          <w:sz w:val="24"/>
          <w:szCs w:val="24"/>
        </w:rPr>
        <w:t>4)</w:t>
      </w:r>
      <w:r>
        <w:rPr>
          <w:rFonts w:hint="eastAsia" w:hAnsi="宋体"/>
          <w:sz w:val="24"/>
          <w:szCs w:val="24"/>
        </w:rPr>
        <w:tab/>
      </w:r>
      <w:r>
        <w:rPr>
          <w:rFonts w:hint="eastAsia" w:hAnsi="宋体"/>
          <w:sz w:val="24"/>
          <w:szCs w:val="24"/>
        </w:rPr>
        <w:t>验收合格后由中标人出具测试报告，中标人和招标人代表签字并加盖公章，确定项目建设完成，项目转入运维阶段。</w:t>
      </w:r>
    </w:p>
    <w:p>
      <w:pPr>
        <w:numPr>
          <w:ilvl w:val="0"/>
          <w:numId w:val="0"/>
        </w:numPr>
        <w:spacing w:line="360" w:lineRule="auto"/>
        <w:jc w:val="left"/>
        <w:rPr>
          <w:rFonts w:hint="eastAsia" w:hAnsi="宋体"/>
          <w:sz w:val="24"/>
          <w:szCs w:val="24"/>
        </w:rPr>
      </w:pPr>
      <w:bookmarkStart w:id="89" w:name="_Toc104974678"/>
      <w:bookmarkStart w:id="90" w:name="_Toc109222186"/>
      <w:bookmarkStart w:id="91" w:name="_Toc104974704"/>
      <w:r>
        <w:rPr>
          <w:rFonts w:hint="eastAsia" w:hAnsi="宋体"/>
          <w:sz w:val="24"/>
          <w:szCs w:val="24"/>
        </w:rPr>
        <w:t>文档管理要求</w:t>
      </w:r>
      <w:bookmarkEnd w:id="89"/>
      <w:bookmarkEnd w:id="90"/>
      <w:bookmarkEnd w:id="91"/>
    </w:p>
    <w:p>
      <w:pPr>
        <w:numPr>
          <w:ilvl w:val="0"/>
          <w:numId w:val="0"/>
        </w:numPr>
        <w:spacing w:line="360" w:lineRule="auto"/>
        <w:jc w:val="left"/>
        <w:rPr>
          <w:rFonts w:hint="eastAsia" w:hAnsi="宋体"/>
          <w:sz w:val="24"/>
          <w:szCs w:val="24"/>
        </w:rPr>
      </w:pPr>
      <w:r>
        <w:rPr>
          <w:rFonts w:hint="eastAsia" w:hAnsi="宋体"/>
          <w:sz w:val="24"/>
          <w:szCs w:val="24"/>
        </w:rPr>
        <w:t>文档是保证项目实施连贯性的重要保证，投标方需要提供完善的文档，并对项目进行过程中的文档进行有效的管理，接受采购方对项目各阶段评估分析和监督管理。整个项目的过程包括后期修改维护提供系统、完整的项目管理、设计和开发、操作说明等书面文档及其电子版。</w:t>
      </w:r>
    </w:p>
    <w:p>
      <w:pPr>
        <w:numPr>
          <w:ilvl w:val="0"/>
          <w:numId w:val="0"/>
        </w:numPr>
        <w:spacing w:line="360" w:lineRule="auto"/>
        <w:jc w:val="left"/>
        <w:rPr>
          <w:rFonts w:hint="eastAsia" w:hAnsi="宋体"/>
          <w:sz w:val="24"/>
          <w:szCs w:val="24"/>
        </w:rPr>
      </w:pPr>
      <w:bookmarkStart w:id="92" w:name="_Toc109222187"/>
      <w:bookmarkStart w:id="93" w:name="_Toc104974705"/>
      <w:bookmarkStart w:id="94" w:name="_Toc104974679"/>
      <w:r>
        <w:rPr>
          <w:rFonts w:hint="eastAsia" w:hAnsi="宋体"/>
          <w:sz w:val="24"/>
          <w:szCs w:val="24"/>
        </w:rPr>
        <w:t>售后服务要求</w:t>
      </w:r>
      <w:bookmarkEnd w:id="92"/>
      <w:bookmarkEnd w:id="93"/>
      <w:bookmarkEnd w:id="94"/>
    </w:p>
    <w:p>
      <w:pPr>
        <w:numPr>
          <w:ilvl w:val="0"/>
          <w:numId w:val="0"/>
        </w:numPr>
        <w:spacing w:line="360" w:lineRule="auto"/>
        <w:jc w:val="left"/>
        <w:rPr>
          <w:rFonts w:hint="eastAsia" w:hAnsi="宋体"/>
          <w:sz w:val="24"/>
          <w:szCs w:val="24"/>
        </w:rPr>
      </w:pPr>
      <w:r>
        <w:rPr>
          <w:rFonts w:hint="eastAsia" w:hAnsi="宋体"/>
          <w:sz w:val="24"/>
          <w:szCs w:val="24"/>
        </w:rPr>
        <w:t>1)</w:t>
      </w:r>
      <w:r>
        <w:rPr>
          <w:rFonts w:hint="eastAsia" w:hAnsi="宋体"/>
          <w:sz w:val="24"/>
          <w:szCs w:val="24"/>
        </w:rPr>
        <w:tab/>
      </w:r>
      <w:r>
        <w:rPr>
          <w:rFonts w:hint="eastAsia" w:hAnsi="宋体"/>
          <w:sz w:val="24"/>
          <w:szCs w:val="24"/>
        </w:rPr>
        <w:t>投标方应有良好的服务理念和完善的售后服务体系，能够提供本地技术服务。</w:t>
      </w:r>
    </w:p>
    <w:p>
      <w:pPr>
        <w:numPr>
          <w:ilvl w:val="0"/>
          <w:numId w:val="0"/>
        </w:numPr>
        <w:spacing w:line="360" w:lineRule="auto"/>
        <w:jc w:val="left"/>
        <w:rPr>
          <w:rFonts w:hint="eastAsia" w:hAnsi="宋体"/>
          <w:sz w:val="24"/>
          <w:szCs w:val="24"/>
        </w:rPr>
      </w:pPr>
      <w:r>
        <w:rPr>
          <w:rFonts w:hint="eastAsia" w:hAnsi="宋体"/>
          <w:sz w:val="24"/>
          <w:szCs w:val="24"/>
        </w:rPr>
        <w:t>2)</w:t>
      </w:r>
      <w:r>
        <w:rPr>
          <w:rFonts w:hint="eastAsia" w:hAnsi="宋体"/>
          <w:sz w:val="24"/>
          <w:szCs w:val="24"/>
        </w:rPr>
        <w:tab/>
      </w:r>
      <w:r>
        <w:rPr>
          <w:rFonts w:hint="eastAsia" w:hAnsi="宋体"/>
          <w:sz w:val="24"/>
          <w:szCs w:val="24"/>
        </w:rPr>
        <w:t>针对本项目，提出完整而切实可行的服务方案。其中，至少应提供7×24小时热线电话、远程网络、现场等服务方式。热线电话和远程网络提供技术咨询和即时服务，1小时内给予明确的响应并解决；现场服务适用于排解重大故障，应在接到医院服务请求后2小时内到达现场解决。</w:t>
      </w:r>
    </w:p>
    <w:p>
      <w:pPr>
        <w:numPr>
          <w:ilvl w:val="0"/>
          <w:numId w:val="0"/>
        </w:numPr>
        <w:spacing w:line="360" w:lineRule="auto"/>
        <w:jc w:val="left"/>
        <w:rPr>
          <w:rFonts w:hint="eastAsia" w:hAnsi="宋体"/>
          <w:sz w:val="24"/>
          <w:szCs w:val="24"/>
        </w:rPr>
      </w:pPr>
      <w:r>
        <w:rPr>
          <w:rFonts w:hint="eastAsia" w:hAnsi="宋体"/>
          <w:sz w:val="24"/>
          <w:szCs w:val="24"/>
        </w:rPr>
        <w:t>3)</w:t>
      </w:r>
      <w:r>
        <w:rPr>
          <w:rFonts w:hint="eastAsia" w:hAnsi="宋体"/>
          <w:sz w:val="24"/>
          <w:szCs w:val="24"/>
        </w:rPr>
        <w:tab/>
      </w:r>
      <w:r>
        <w:rPr>
          <w:rFonts w:hint="eastAsia" w:hAnsi="宋体"/>
          <w:sz w:val="24"/>
          <w:szCs w:val="24"/>
        </w:rPr>
        <w:t>质保期：应用软件从项目整体验收通过之日起1年。质保期内，至少派驻1名工程师负责远程或现场服务，应用软件和硬件的升级、维护均免费。</w:t>
      </w:r>
    </w:p>
    <w:p>
      <w:pPr>
        <w:numPr>
          <w:ilvl w:val="0"/>
          <w:numId w:val="0"/>
        </w:numPr>
        <w:spacing w:line="360" w:lineRule="auto"/>
        <w:jc w:val="left"/>
        <w:rPr>
          <w:rFonts w:hint="eastAsia" w:hAnsi="宋体"/>
          <w:sz w:val="24"/>
          <w:szCs w:val="24"/>
        </w:rPr>
      </w:pPr>
      <w:r>
        <w:rPr>
          <w:rFonts w:hint="eastAsia" w:hAnsi="宋体"/>
          <w:sz w:val="24"/>
          <w:szCs w:val="24"/>
        </w:rPr>
        <w:t>4)</w:t>
      </w:r>
      <w:r>
        <w:rPr>
          <w:rFonts w:hint="eastAsia" w:hAnsi="宋体"/>
          <w:sz w:val="24"/>
          <w:szCs w:val="24"/>
        </w:rPr>
        <w:tab/>
      </w:r>
      <w:r>
        <w:rPr>
          <w:rFonts w:hint="eastAsia" w:hAnsi="宋体"/>
          <w:sz w:val="24"/>
          <w:szCs w:val="24"/>
        </w:rPr>
        <w:t>质保期过后，投标方应提供系统软件终身维护服务，具体维护费用由医院和中标人通过合同或协议商定。</w:t>
      </w: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最低价法</w:t>
      </w:r>
    </w:p>
    <w:tbl>
      <w:tblPr>
        <w:tblStyle w:val="14"/>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5"/>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6"/>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95"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95"/>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十三、</w:t>
      </w:r>
      <w:r>
        <w:rPr>
          <w:rFonts w:hint="eastAsia" w:ascii="宋体" w:hAnsi="宋体" w:eastAsia="宋体" w:cs="宋体"/>
          <w:b w:val="0"/>
          <w:color w:val="000000"/>
          <w:sz w:val="24"/>
          <w:szCs w:val="24"/>
          <w:lang w:val="en-US" w:eastAsia="zh-CN"/>
        </w:rPr>
        <w:t>服务要求承诺</w:t>
      </w:r>
      <w:r>
        <w:rPr>
          <w:rFonts w:ascii="宋体" w:hAnsi="宋体" w:eastAsia="宋体" w:cs="宋体"/>
          <w:b w:val="0"/>
          <w:color w:val="000000"/>
          <w:sz w:val="24"/>
          <w:szCs w:val="24"/>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w:t>
      </w:r>
      <w:r>
        <w:rPr>
          <w:rFonts w:hint="eastAsia" w:ascii="宋体" w:hAnsi="宋体" w:eastAsia="宋体" w:cs="宋体"/>
          <w:b w:val="0"/>
          <w:color w:val="000000"/>
          <w:sz w:val="24"/>
          <w:szCs w:val="24"/>
          <w:lang w:val="en-US" w:eastAsia="zh-CN"/>
        </w:rPr>
        <w:t>拟派技术人员信息</w:t>
      </w:r>
      <w:r>
        <w:rPr>
          <w:rFonts w:ascii="宋体" w:hAnsi="宋体" w:eastAsia="宋体" w:cs="宋体"/>
          <w:b w:val="0"/>
          <w:color w:val="000000"/>
          <w:sz w:val="24"/>
          <w:szCs w:val="24"/>
        </w:rPr>
        <w:t>...............................................</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7"/>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14"/>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wordWrap w:val="0"/>
        <w:autoSpaceDE/>
        <w:autoSpaceDN/>
        <w:bidi w:val="0"/>
        <w:snapToGrid/>
        <w:spacing w:line="360" w:lineRule="auto"/>
        <w:jc w:val="left"/>
        <w:rPr>
          <w:rFonts w:hint="default" w:ascii="宋体" w:hAnsi="宋体" w:eastAsia="宋体" w:cs="宋体"/>
          <w:sz w:val="24"/>
          <w:szCs w:val="24"/>
          <w:lang w:val="en-US"/>
        </w:rPr>
      </w:pPr>
      <w:r>
        <w:rPr>
          <w:rFonts w:hint="eastAsia" w:ascii="宋体" w:hAnsi="宋体" w:eastAsia="宋体" w:cs="宋体"/>
          <w:b/>
          <w:sz w:val="28"/>
          <w:szCs w:val="28"/>
          <w:lang w:val="en-US" w:eastAsia="zh-CN"/>
        </w:rPr>
        <w:t>十三、服务要求承诺</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十四、拟派维保人员信息</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十五、其他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078E2"/>
    <w:multiLevelType w:val="singleLevel"/>
    <w:tmpl w:val="870078E2"/>
    <w:lvl w:ilvl="0" w:tentative="0">
      <w:start w:val="2"/>
      <w:numFmt w:val="chineseCounting"/>
      <w:suff w:val="nothing"/>
      <w:lvlText w:val="%1、"/>
      <w:lvlJc w:val="left"/>
      <w:rPr>
        <w:rFonts w:hint="eastAsia"/>
      </w:rPr>
    </w:lvl>
  </w:abstractNum>
  <w:abstractNum w:abstractNumId="1">
    <w:nsid w:val="00000027"/>
    <w:multiLevelType w:val="multilevel"/>
    <w:tmpl w:val="00000027"/>
    <w:lvl w:ilvl="0" w:tentative="0">
      <w:start w:val="1"/>
      <w:numFmt w:val="decimal"/>
      <w:lvlText w:val="第%1章"/>
      <w:lvlJc w:val="left"/>
      <w:pPr>
        <w:tabs>
          <w:tab w:val="left" w:pos="425"/>
        </w:tabs>
        <w:ind w:left="425" w:hanging="425"/>
      </w:pPr>
      <w:rPr>
        <w:rFonts w:hint="default" w:ascii="Arial" w:hAnsi="Arial" w:eastAsia="宋体"/>
      </w:rPr>
    </w:lvl>
    <w:lvl w:ilvl="1" w:tentative="0">
      <w:start w:val="1"/>
      <w:numFmt w:val="decimal"/>
      <w:lvlText w:val="%1.%2."/>
      <w:lvlJc w:val="left"/>
      <w:pPr>
        <w:tabs>
          <w:tab w:val="left" w:pos="567"/>
        </w:tabs>
        <w:ind w:left="567" w:hanging="567"/>
      </w:pPr>
      <w:rPr>
        <w:rFonts w:hint="default" w:ascii="Arial" w:hAnsi="Arial" w:eastAsia="宋体"/>
      </w:rPr>
    </w:lvl>
    <w:lvl w:ilvl="2" w:tentative="0">
      <w:start w:val="1"/>
      <w:numFmt w:val="decimal"/>
      <w:pStyle w:val="4"/>
      <w:lvlText w:val="%1.%2.%3."/>
      <w:lvlJc w:val="left"/>
      <w:pPr>
        <w:tabs>
          <w:tab w:val="left" w:pos="709"/>
        </w:tabs>
        <w:ind w:left="709" w:hanging="709"/>
      </w:pPr>
      <w:rPr>
        <w:rFonts w:hint="default" w:ascii="Arial" w:hAnsi="Arial" w:eastAsia="宋体"/>
      </w:rPr>
    </w:lvl>
    <w:lvl w:ilvl="3" w:tentative="0">
      <w:start w:val="1"/>
      <w:numFmt w:val="decimal"/>
      <w:pStyle w:val="5"/>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BF41490"/>
    <w:multiLevelType w:val="multilevel"/>
    <w:tmpl w:val="1BF41490"/>
    <w:lvl w:ilvl="0" w:tentative="0">
      <w:start w:val="1"/>
      <w:numFmt w:val="bullet"/>
      <w:lvlText w:val=""/>
      <w:lvlJc w:val="left"/>
      <w:pPr>
        <w:ind w:left="840" w:hanging="420"/>
      </w:pPr>
      <w:rPr>
        <w:rFonts w:hint="default" w:ascii="Wingdings" w:hAnsi="Wingdings"/>
      </w:rPr>
    </w:lvl>
    <w:lvl w:ilvl="1" w:tentative="0">
      <w:start w:val="1"/>
      <w:numFmt w:val="bullet"/>
      <w:pStyle w:val="23"/>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C033318"/>
    <w:multiLevelType w:val="multilevel"/>
    <w:tmpl w:val="2C033318"/>
    <w:lvl w:ilvl="0" w:tentative="0">
      <w:start w:val="1"/>
      <w:numFmt w:val="decimal"/>
      <w:pStyle w:val="22"/>
      <w:lvlText w:val="%1)"/>
      <w:lvlJc w:val="left"/>
      <w:pPr>
        <w:ind w:left="480" w:hanging="480"/>
      </w:pPr>
      <w:rPr>
        <w:rFonts w:hint="default" w:ascii="Arial" w:hAnsi="Arial" w:eastAsia="宋体"/>
      </w:rPr>
    </w:lvl>
    <w:lvl w:ilvl="1" w:tentative="0">
      <w:start w:val="1"/>
      <w:numFmt w:val="lowerLetter"/>
      <w:lvlText w:val="%2)"/>
      <w:lvlJc w:val="left"/>
      <w:pPr>
        <w:ind w:left="1440" w:hanging="480"/>
      </w:pPr>
      <w:rPr>
        <w:rFonts w:hint="eastAsia"/>
      </w:rPr>
    </w:lvl>
    <w:lvl w:ilvl="2" w:tentative="0">
      <w:start w:val="1"/>
      <w:numFmt w:val="lowerRoman"/>
      <w:lvlText w:val="%3."/>
      <w:lvlJc w:val="right"/>
      <w:pPr>
        <w:ind w:left="1920" w:hanging="480"/>
      </w:pPr>
      <w:rPr>
        <w:rFonts w:hint="eastAsia"/>
      </w:rPr>
    </w:lvl>
    <w:lvl w:ilvl="3" w:tentative="0">
      <w:start w:val="1"/>
      <w:numFmt w:val="decimal"/>
      <w:lvlText w:val="%4."/>
      <w:lvlJc w:val="left"/>
      <w:pPr>
        <w:ind w:left="2400" w:hanging="480"/>
      </w:pPr>
      <w:rPr>
        <w:rFonts w:hint="eastAsia"/>
      </w:rPr>
    </w:lvl>
    <w:lvl w:ilvl="4" w:tentative="0">
      <w:start w:val="1"/>
      <w:numFmt w:val="lowerLetter"/>
      <w:lvlText w:val="%5)"/>
      <w:lvlJc w:val="left"/>
      <w:pPr>
        <w:ind w:left="2880" w:hanging="480"/>
      </w:pPr>
      <w:rPr>
        <w:rFonts w:hint="eastAsia"/>
      </w:rPr>
    </w:lvl>
    <w:lvl w:ilvl="5" w:tentative="0">
      <w:start w:val="1"/>
      <w:numFmt w:val="lowerRoman"/>
      <w:lvlText w:val="%6."/>
      <w:lvlJc w:val="right"/>
      <w:pPr>
        <w:ind w:left="3360" w:hanging="480"/>
      </w:pPr>
      <w:rPr>
        <w:rFonts w:hint="eastAsia"/>
      </w:rPr>
    </w:lvl>
    <w:lvl w:ilvl="6" w:tentative="0">
      <w:start w:val="1"/>
      <w:numFmt w:val="decimal"/>
      <w:lvlText w:val="%7."/>
      <w:lvlJc w:val="left"/>
      <w:pPr>
        <w:ind w:left="3840" w:hanging="480"/>
      </w:pPr>
      <w:rPr>
        <w:rFonts w:hint="eastAsia"/>
      </w:rPr>
    </w:lvl>
    <w:lvl w:ilvl="7" w:tentative="0">
      <w:start w:val="1"/>
      <w:numFmt w:val="lowerLetter"/>
      <w:lvlText w:val="%8)"/>
      <w:lvlJc w:val="left"/>
      <w:pPr>
        <w:ind w:left="4320" w:hanging="480"/>
      </w:pPr>
      <w:rPr>
        <w:rFonts w:hint="eastAsia"/>
      </w:rPr>
    </w:lvl>
    <w:lvl w:ilvl="8" w:tentative="0">
      <w:start w:val="1"/>
      <w:numFmt w:val="lowerRoman"/>
      <w:lvlText w:val="%9."/>
      <w:lvlJc w:val="right"/>
      <w:pPr>
        <w:ind w:left="4800" w:hanging="480"/>
      </w:pPr>
      <w:rPr>
        <w:rFonts w:hint="eastAsia"/>
      </w:rPr>
    </w:lvl>
  </w:abstractNum>
  <w:abstractNum w:abstractNumId="4">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5">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6">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07115D"/>
    <w:rsid w:val="06B07F83"/>
    <w:rsid w:val="0A646A81"/>
    <w:rsid w:val="0ECE7008"/>
    <w:rsid w:val="0FB218E1"/>
    <w:rsid w:val="11AB1717"/>
    <w:rsid w:val="11EF4694"/>
    <w:rsid w:val="140464E1"/>
    <w:rsid w:val="19BD2CB7"/>
    <w:rsid w:val="1A9B0069"/>
    <w:rsid w:val="224C6733"/>
    <w:rsid w:val="23507ADC"/>
    <w:rsid w:val="25757733"/>
    <w:rsid w:val="267A5F90"/>
    <w:rsid w:val="2B8A6B32"/>
    <w:rsid w:val="2D1D3BDB"/>
    <w:rsid w:val="2DFB03C5"/>
    <w:rsid w:val="2EFF6A99"/>
    <w:rsid w:val="2FC378C6"/>
    <w:rsid w:val="3281623F"/>
    <w:rsid w:val="32944704"/>
    <w:rsid w:val="37FC75FC"/>
    <w:rsid w:val="386023ED"/>
    <w:rsid w:val="393C0F46"/>
    <w:rsid w:val="3E9002A8"/>
    <w:rsid w:val="44AA028A"/>
    <w:rsid w:val="47C04769"/>
    <w:rsid w:val="489F057B"/>
    <w:rsid w:val="4AEA1D1A"/>
    <w:rsid w:val="4AED3729"/>
    <w:rsid w:val="557D67C8"/>
    <w:rsid w:val="5D060709"/>
    <w:rsid w:val="5DFF20EB"/>
    <w:rsid w:val="5E196925"/>
    <w:rsid w:val="62E24E32"/>
    <w:rsid w:val="65640778"/>
    <w:rsid w:val="661108EC"/>
    <w:rsid w:val="669049D8"/>
    <w:rsid w:val="67D14995"/>
    <w:rsid w:val="6D4F63E7"/>
    <w:rsid w:val="6F5104C0"/>
    <w:rsid w:val="719B7B32"/>
    <w:rsid w:val="7BB21433"/>
    <w:rsid w:val="7F112C06"/>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9"/>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paragraph" w:styleId="4">
    <w:name w:val="heading 3"/>
    <w:basedOn w:val="1"/>
    <w:next w:val="1"/>
    <w:qFormat/>
    <w:uiPriority w:val="0"/>
    <w:pPr>
      <w:numPr>
        <w:ilvl w:val="2"/>
        <w:numId w:val="1"/>
      </w:numPr>
      <w:spacing w:before="240" w:beforeLines="100" w:after="240" w:afterLines="100" w:line="300" w:lineRule="auto"/>
      <w:ind w:left="569" w:hanging="569" w:hangingChars="236"/>
      <w:outlineLvl w:val="2"/>
    </w:pPr>
    <w:rPr>
      <w:rFonts w:ascii="Arial" w:hAnsi="Arial"/>
      <w:b/>
    </w:rPr>
  </w:style>
  <w:style w:type="paragraph" w:styleId="5">
    <w:name w:val="heading 4"/>
    <w:basedOn w:val="1"/>
    <w:next w:val="1"/>
    <w:qFormat/>
    <w:uiPriority w:val="0"/>
    <w:pPr>
      <w:keepNext/>
      <w:keepLines/>
      <w:numPr>
        <w:ilvl w:val="3"/>
        <w:numId w:val="1"/>
      </w:numPr>
      <w:spacing w:after="0" w:afterLines="0" w:line="300" w:lineRule="auto"/>
      <w:outlineLvl w:val="3"/>
    </w:pPr>
    <w:rPr>
      <w:rFonts w:ascii="宋体" w:hAnsi="宋体"/>
      <w:b/>
    </w:rPr>
  </w:style>
  <w:style w:type="character" w:default="1" w:styleId="16">
    <w:name w:val="Default Paragraph Font"/>
    <w:semiHidden/>
    <w:qFormat/>
    <w:uiPriority w:val="2"/>
  </w:style>
  <w:style w:type="table" w:default="1" w:styleId="14">
    <w:name w:val="Normal Table"/>
    <w:semiHidden/>
    <w:qFormat/>
    <w:uiPriority w:val="3"/>
    <w:tblPr>
      <w:tblCellMar>
        <w:top w:w="0" w:type="dxa"/>
        <w:left w:w="108" w:type="dxa"/>
        <w:bottom w:w="0" w:type="dxa"/>
        <w:right w:w="108" w:type="dxa"/>
      </w:tblCellMar>
    </w:tblPr>
  </w:style>
  <w:style w:type="paragraph" w:styleId="6">
    <w:name w:val="Normal Indent"/>
    <w:basedOn w:val="1"/>
    <w:unhideWhenUsed/>
    <w:qFormat/>
    <w:uiPriority w:val="0"/>
    <w:pPr>
      <w:ind w:firstLine="420" w:firstLineChars="200"/>
    </w:pPr>
  </w:style>
  <w:style w:type="paragraph" w:styleId="7">
    <w:name w:val="toc 3"/>
    <w:basedOn w:val="1"/>
    <w:next w:val="1"/>
    <w:unhideWhenUsed/>
    <w:qFormat/>
    <w:uiPriority w:val="39"/>
    <w:pPr>
      <w:ind w:left="840" w:leftChars="400"/>
    </w:pPr>
  </w:style>
  <w:style w:type="paragraph" w:styleId="8">
    <w:name w:val="footer"/>
    <w:basedOn w:val="1"/>
    <w:qFormat/>
    <w:uiPriority w:val="151"/>
    <w:pPr>
      <w:tabs>
        <w:tab w:val="center" w:pos="4153"/>
        <w:tab w:val="right" w:pos="8306"/>
      </w:tabs>
      <w:snapToGrid w:val="0"/>
      <w:jc w:val="left"/>
    </w:pPr>
    <w:rPr>
      <w:sz w:val="18"/>
      <w:szCs w:val="18"/>
    </w:rPr>
  </w:style>
  <w:style w:type="paragraph" w:styleId="9">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10">
    <w:name w:val="toc 1"/>
    <w:basedOn w:val="1"/>
    <w:next w:val="1"/>
    <w:unhideWhenUsed/>
    <w:qFormat/>
    <w:uiPriority w:val="39"/>
    <w:rPr>
      <w:rFonts w:ascii="Arial" w:hAnsi="Arial"/>
    </w:rPr>
  </w:style>
  <w:style w:type="paragraph" w:styleId="11">
    <w:name w:val="toc 4"/>
    <w:basedOn w:val="1"/>
    <w:next w:val="1"/>
    <w:unhideWhenUsed/>
    <w:qFormat/>
    <w:uiPriority w:val="39"/>
    <w:pPr>
      <w:ind w:left="1260" w:leftChars="600"/>
    </w:pPr>
    <w:rPr>
      <w:sz w:val="21"/>
    </w:rPr>
  </w:style>
  <w:style w:type="paragraph" w:styleId="12">
    <w:name w:val="toc 2"/>
    <w:basedOn w:val="1"/>
    <w:next w:val="1"/>
    <w:unhideWhenUsed/>
    <w:qFormat/>
    <w:uiPriority w:val="39"/>
    <w:pPr>
      <w:ind w:left="420" w:leftChars="200"/>
    </w:pPr>
  </w:style>
  <w:style w:type="paragraph" w:styleId="13">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15">
    <w:name w:val="Table Grid"/>
    <w:basedOn w:val="14"/>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color w:val="0000FF"/>
      <w:u w:val="single"/>
    </w:rPr>
  </w:style>
  <w:style w:type="paragraph" w:styleId="18">
    <w:name w:val="List Paragraph"/>
    <w:basedOn w:val="1"/>
    <w:qFormat/>
    <w:uiPriority w:val="26"/>
    <w:pPr>
      <w:ind w:firstLine="200"/>
    </w:pPr>
    <w:rPr>
      <w:rFonts w:ascii="Times New Roman" w:hAnsi="Times New Roman" w:eastAsia="宋体" w:cs="Times New Roman"/>
      <w:sz w:val="28"/>
      <w:szCs w:val="28"/>
    </w:rPr>
  </w:style>
  <w:style w:type="character" w:customStyle="1" w:styleId="19">
    <w:name w:val="NormalCharacter"/>
    <w:link w:val="1"/>
    <w:qFormat/>
    <w:uiPriority w:val="154"/>
    <w:rPr>
      <w:rFonts w:asciiTheme="minorHAnsi" w:hAnsiTheme="minorHAnsi" w:eastAsiaTheme="minorEastAsia" w:cstheme="minorBidi"/>
      <w:sz w:val="21"/>
      <w:szCs w:val="21"/>
      <w:lang w:val="en-US" w:eastAsia="zh-CN" w:bidi="ar-SA"/>
    </w:rPr>
  </w:style>
  <w:style w:type="paragraph" w:customStyle="1" w:styleId="20">
    <w:name w:val="7 正文"/>
    <w:basedOn w:val="6"/>
    <w:qFormat/>
    <w:uiPriority w:val="0"/>
    <w:pPr>
      <w:spacing w:before="100" w:beforeAutospacing="1" w:after="100" w:afterLines="0" w:afterAutospacing="1" w:line="300" w:lineRule="auto"/>
      <w:ind w:firstLine="480"/>
      <w:jc w:val="left"/>
    </w:pPr>
    <w:rPr>
      <w:rFonts w:ascii="Arial" w:hAnsi="Arial"/>
      <w:szCs w:val="24"/>
    </w:rPr>
  </w:style>
  <w:style w:type="paragraph" w:customStyle="1" w:styleId="21">
    <w:name w:val="4 四级标题"/>
    <w:basedOn w:val="22"/>
    <w:qFormat/>
    <w:uiPriority w:val="0"/>
    <w:pPr>
      <w:tabs>
        <w:tab w:val="left" w:pos="360"/>
      </w:tabs>
    </w:pPr>
    <w:rPr>
      <w:rFonts w:ascii="Arial" w:hAnsi="Arial"/>
    </w:rPr>
  </w:style>
  <w:style w:type="paragraph" w:customStyle="1" w:styleId="22">
    <w:name w:val="标题4"/>
    <w:basedOn w:val="6"/>
    <w:qFormat/>
    <w:uiPriority w:val="0"/>
    <w:pPr>
      <w:numPr>
        <w:ilvl w:val="0"/>
        <w:numId w:val="2"/>
      </w:numPr>
      <w:tabs>
        <w:tab w:val="left" w:pos="360"/>
      </w:tabs>
      <w:spacing w:before="100" w:beforeAutospacing="1" w:after="100" w:afterLines="0" w:afterAutospacing="1" w:line="300" w:lineRule="auto"/>
      <w:ind w:left="426" w:hanging="426" w:firstLineChars="0"/>
    </w:pPr>
    <w:rPr>
      <w:rFonts w:ascii="宋体" w:hAnsi="宋体"/>
      <w:szCs w:val="24"/>
    </w:rPr>
  </w:style>
  <w:style w:type="paragraph" w:customStyle="1" w:styleId="23">
    <w:name w:val="6 六级标题"/>
    <w:basedOn w:val="6"/>
    <w:qFormat/>
    <w:uiPriority w:val="0"/>
    <w:pPr>
      <w:numPr>
        <w:ilvl w:val="1"/>
        <w:numId w:val="3"/>
      </w:numPr>
      <w:spacing w:before="100" w:beforeAutospacing="1" w:after="100" w:afterLines="0" w:afterAutospacing="1" w:line="300" w:lineRule="auto"/>
      <w:ind w:firstLineChars="0"/>
    </w:pPr>
    <w:rPr>
      <w:rFonts w:ascii="Arial" w:hAnsi="Arial"/>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12038</Words>
  <Characters>13150</Characters>
  <Lines>0</Lines>
  <Paragraphs>0</Paragraphs>
  <TotalTime>3</TotalTime>
  <ScaleCrop>false</ScaleCrop>
  <LinksUpToDate>false</LinksUpToDate>
  <CharactersWithSpaces>13465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2022-12-16T01:07:39Z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DD8EFF3EBBF14110A3C20210265F8B2E</vt:lpwstr>
  </property>
  <property fmtid="{D5CDD505-2E9C-101B-9397-08002B2CF9AE}" pid="4" name="commondata">
    <vt:lpwstr>eyJoZGlkIjoiM2I5YmQyM2VlMzIyNzg3MTM0MjMzMjczYWU0N2U3MTcifQ==</vt:lpwstr>
  </property>
</Properties>
</file>