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pStyle w:val="4"/>
        <w:rPr>
          <w:rFonts w:hint="eastAsia"/>
          <w:b w:val="0"/>
          <w:sz w:val="28"/>
          <w:szCs w:val="28"/>
          <w:lang w:val="en-US" w:eastAsia="zh-CN"/>
        </w:rPr>
      </w:pPr>
    </w:p>
    <w:p>
      <w:pPr>
        <w:rPr>
          <w:rFonts w:hint="eastAsia"/>
          <w:b w:val="0"/>
          <w:sz w:val="28"/>
          <w:szCs w:val="28"/>
          <w:lang w:val="en-US" w:eastAsia="zh-CN"/>
        </w:rPr>
      </w:pPr>
    </w:p>
    <w:p>
      <w:pPr>
        <w:pStyle w:val="4"/>
        <w:rPr>
          <w:rFonts w:hint="eastAsia"/>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手术动力系统手柄 （二次</w:t>
      </w:r>
      <w:bookmarkStart w:id="1" w:name="_GoBack"/>
      <w:bookmarkEnd w:id="1"/>
      <w:r>
        <w:rPr>
          <w:rFonts w:hint="eastAsia" w:ascii="黑体" w:hAnsi="黑体" w:eastAsia="黑体" w:cs="黑体"/>
          <w:b/>
          <w:sz w:val="36"/>
          <w:szCs w:val="36"/>
          <w:lang w:val="en-US" w:eastAsia="zh-CN"/>
        </w:rPr>
        <w:t>）</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2024年3月27日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default" w:ascii="宋体" w:hAnsi="宋体" w:eastAsia="宋体"/>
          <w:bCs/>
          <w:kern w:val="44"/>
          <w:sz w:val="24"/>
          <w:szCs w:val="24"/>
          <w:lang w:val="en-US" w:eastAsia="zh-CN"/>
        </w:rPr>
      </w:pPr>
      <w:r>
        <w:rPr>
          <w:rFonts w:hint="eastAsia" w:ascii="宋体" w:hAnsi="宋体"/>
          <w:bCs/>
          <w:kern w:val="44"/>
          <w:sz w:val="24"/>
          <w:szCs w:val="24"/>
          <w:lang w:val="zh-CN"/>
        </w:rPr>
        <w:t>一.主要商务要求</w:t>
      </w:r>
      <w:r>
        <w:rPr>
          <w:rFonts w:hint="eastAsia" w:ascii="宋体" w:hAnsi="宋体" w:eastAsia="宋体"/>
          <w:bCs/>
          <w:kern w:val="44"/>
          <w:sz w:val="24"/>
          <w:szCs w:val="24"/>
          <w:lang w:val="en-US" w:eastAsia="zh-CN"/>
        </w:rPr>
        <w:t xml:space="preserve">                                          金额：元</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手术动力系统手柄</w:t>
            </w:r>
          </w:p>
        </w:tc>
        <w:tc>
          <w:tcPr>
            <w:tcW w:w="903" w:type="dxa"/>
            <w:vAlign w:val="center"/>
          </w:tcPr>
          <w:p>
            <w:pPr>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甲方在设备验收通过后，支付总货款的90%，验收通过使用一年后支付剩余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tbl>
      <w:tblPr>
        <w:tblStyle w:val="9"/>
        <w:tblW w:w="8539" w:type="dxa"/>
        <w:tblInd w:w="0" w:type="dxa"/>
        <w:tblLayout w:type="fixed"/>
        <w:tblCellMar>
          <w:top w:w="0" w:type="dxa"/>
          <w:left w:w="108" w:type="dxa"/>
          <w:bottom w:w="0" w:type="dxa"/>
          <w:right w:w="108" w:type="dxa"/>
        </w:tblCellMar>
      </w:tblPr>
      <w:tblGrid>
        <w:gridCol w:w="697"/>
        <w:gridCol w:w="757"/>
        <w:gridCol w:w="7085"/>
      </w:tblGrid>
      <w:tr>
        <w:tblPrEx>
          <w:tblCellMar>
            <w:top w:w="0" w:type="dxa"/>
            <w:left w:w="108" w:type="dxa"/>
            <w:bottom w:w="0" w:type="dxa"/>
            <w:right w:w="108" w:type="dxa"/>
          </w:tblCellMar>
        </w:tblPrEx>
        <w:trPr>
          <w:trHeight w:val="66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bidi="lo-LA"/>
              </w:rPr>
            </w:pPr>
            <w:r>
              <w:rPr>
                <w:rFonts w:hint="eastAsia" w:ascii="宋体" w:hAnsi="宋体" w:cs="宋体"/>
                <w:kern w:val="0"/>
                <w:szCs w:val="21"/>
                <w:lang w:val="en-US" w:eastAsia="zh-CN" w:bidi="lo-LA"/>
              </w:rPr>
              <w:t>1</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kern w:val="0"/>
                <w:sz w:val="21"/>
                <w:szCs w:val="21"/>
                <w:lang w:eastAsia="zh-CN" w:bidi="lo-LA"/>
              </w:rPr>
            </w:pPr>
            <w:r>
              <w:rPr>
                <w:rFonts w:hint="eastAsia" w:ascii="宋体" w:hAnsi="宋体" w:eastAsia="宋体" w:cs="宋体"/>
                <w:kern w:val="0"/>
                <w:szCs w:val="21"/>
                <w:lang w:eastAsia="zh-CN" w:bidi="lo-LA"/>
              </w:rPr>
              <w:t>转速：往复最大转速≥5000RPM，连接鼻科钻头时单向最大转速≥12000RPM；最低可显示转速</w:t>
            </w:r>
            <w:r>
              <w:rPr>
                <w:rFonts w:hint="eastAsia" w:ascii="宋体" w:hAnsi="宋体" w:cs="宋体"/>
                <w:kern w:val="0"/>
                <w:szCs w:val="21"/>
                <w:lang w:val="en-US" w:eastAsia="zh-CN" w:bidi="lo-LA"/>
              </w:rPr>
              <w:t>应</w:t>
            </w:r>
            <w:r>
              <w:rPr>
                <w:rFonts w:hint="eastAsia" w:ascii="宋体" w:hAnsi="宋体" w:eastAsia="宋体" w:cs="宋体"/>
                <w:kern w:val="0"/>
                <w:szCs w:val="21"/>
                <w:lang w:eastAsia="zh-CN" w:bidi="lo-LA"/>
              </w:rPr>
              <w:t>可</w:t>
            </w:r>
            <w:r>
              <w:rPr>
                <w:rFonts w:hint="eastAsia" w:ascii="宋体" w:hAnsi="宋体" w:cs="宋体"/>
                <w:kern w:val="0"/>
                <w:szCs w:val="21"/>
                <w:lang w:val="en-US" w:eastAsia="zh-CN" w:bidi="lo-LA"/>
              </w:rPr>
              <w:t>达到</w:t>
            </w:r>
            <w:r>
              <w:rPr>
                <w:rFonts w:hint="eastAsia" w:ascii="宋体" w:hAnsi="宋体" w:eastAsia="宋体" w:cs="宋体"/>
                <w:kern w:val="0"/>
                <w:szCs w:val="21"/>
                <w:lang w:eastAsia="zh-CN" w:bidi="lo-LA"/>
              </w:rPr>
              <w:t>60PRM；可用脚踏开关随意控制转速。</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宋体" w:hAnsi="宋体" w:cs="宋体"/>
                <w:kern w:val="0"/>
                <w:szCs w:val="21"/>
                <w:lang w:val="en-US" w:eastAsia="zh-CN" w:bidi="lo-LA"/>
              </w:rPr>
              <w:t>2</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kern w:val="0"/>
                <w:sz w:val="21"/>
                <w:szCs w:val="21"/>
                <w:lang w:val="en-US" w:eastAsia="zh-CN" w:bidi="lo-LA"/>
              </w:rPr>
            </w:pPr>
            <w:r>
              <w:rPr>
                <w:rFonts w:hint="eastAsia" w:ascii="宋体" w:hAnsi="宋体" w:eastAsia="宋体" w:cs="宋体"/>
                <w:kern w:val="0"/>
                <w:szCs w:val="21"/>
                <w:lang w:eastAsia="zh-CN" w:bidi="lo-LA"/>
              </w:rPr>
              <w:t>质量</w:t>
            </w:r>
            <w:r>
              <w:rPr>
                <w:rFonts w:hint="eastAsia" w:ascii="宋体" w:hAnsi="宋体" w:cs="宋体"/>
                <w:kern w:val="0"/>
                <w:szCs w:val="21"/>
                <w:lang w:val="en-US" w:eastAsia="zh-CN" w:bidi="lo-LA"/>
              </w:rPr>
              <w:t>应</w:t>
            </w:r>
            <w:r>
              <w:rPr>
                <w:rFonts w:hint="eastAsia" w:ascii="宋体" w:hAnsi="宋体" w:eastAsia="宋体" w:cs="宋体"/>
                <w:kern w:val="0"/>
                <w:szCs w:val="21"/>
                <w:lang w:eastAsia="zh-CN" w:bidi="lo-LA"/>
              </w:rPr>
              <w:t>不重于</w:t>
            </w:r>
            <w:r>
              <w:rPr>
                <w:rFonts w:hint="eastAsia" w:ascii="宋体" w:hAnsi="宋体" w:cs="宋体"/>
                <w:kern w:val="0"/>
                <w:szCs w:val="21"/>
                <w:lang w:val="en-US" w:eastAsia="zh-CN" w:bidi="lo-LA"/>
              </w:rPr>
              <w:t>20</w:t>
            </w:r>
            <w:r>
              <w:rPr>
                <w:rFonts w:hint="eastAsia" w:ascii="宋体" w:hAnsi="宋体" w:eastAsia="宋体" w:cs="宋体"/>
                <w:kern w:val="0"/>
                <w:szCs w:val="21"/>
                <w:lang w:eastAsia="zh-CN" w:bidi="lo-LA"/>
              </w:rPr>
              <w:t>0克，</w:t>
            </w:r>
            <w:r>
              <w:rPr>
                <w:rFonts w:hint="eastAsia" w:ascii="宋体" w:hAnsi="宋体" w:cs="宋体"/>
                <w:kern w:val="0"/>
                <w:szCs w:val="21"/>
                <w:lang w:val="en-US" w:eastAsia="zh-CN" w:bidi="lo-LA"/>
              </w:rPr>
              <w:t>以</w:t>
            </w:r>
            <w:r>
              <w:rPr>
                <w:rFonts w:hint="eastAsia" w:ascii="宋体" w:hAnsi="宋体" w:eastAsia="宋体" w:cs="宋体"/>
                <w:kern w:val="0"/>
                <w:szCs w:val="21"/>
                <w:lang w:eastAsia="zh-CN" w:bidi="lo-LA"/>
              </w:rPr>
              <w:t>减轻术者的负担，符合人体工程学的设计，便于灵活操作又不妨碍视线。</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eastAsia="zh-CN" w:bidi="lo-LA"/>
              </w:rPr>
            </w:pPr>
            <w:r>
              <w:rPr>
                <w:rFonts w:hint="eastAsia" w:ascii="宋体" w:hAnsi="宋体" w:cs="宋体"/>
                <w:kern w:val="0"/>
                <w:szCs w:val="21"/>
                <w:lang w:val="en-US" w:eastAsia="zh-CN" w:bidi="lo-LA"/>
              </w:rPr>
              <w:t>3</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kern w:val="0"/>
                <w:sz w:val="21"/>
                <w:szCs w:val="21"/>
                <w:lang w:eastAsia="zh-CN" w:bidi="lo-LA"/>
              </w:rPr>
            </w:pPr>
            <w:r>
              <w:rPr>
                <w:rFonts w:hint="eastAsia" w:ascii="宋体" w:hAnsi="宋体" w:cs="宋体"/>
                <w:kern w:val="0"/>
                <w:szCs w:val="21"/>
                <w:lang w:bidi="lo-LA"/>
              </w:rPr>
              <w:t>从刀头到吸引排出口</w:t>
            </w:r>
            <w:r>
              <w:rPr>
                <w:rFonts w:hint="eastAsia" w:ascii="宋体" w:hAnsi="宋体" w:cs="宋体"/>
                <w:kern w:val="0"/>
                <w:szCs w:val="21"/>
                <w:lang w:val="en-US" w:eastAsia="zh-CN" w:bidi="lo-LA"/>
              </w:rPr>
              <w:t>应</w:t>
            </w:r>
            <w:r>
              <w:rPr>
                <w:rFonts w:hint="eastAsia" w:ascii="宋体" w:hAnsi="宋体" w:cs="宋体"/>
                <w:kern w:val="0"/>
                <w:szCs w:val="21"/>
                <w:lang w:bidi="lo-LA"/>
              </w:rPr>
              <w:t>为直排式吸引，切割、排出为一直线，</w:t>
            </w:r>
            <w:r>
              <w:rPr>
                <w:rFonts w:hint="eastAsia" w:ascii="宋体" w:hAnsi="宋体" w:cs="宋体"/>
                <w:kern w:val="0"/>
                <w:szCs w:val="21"/>
                <w:lang w:val="en-US" w:eastAsia="zh-CN" w:bidi="lo-LA"/>
              </w:rPr>
              <w:t>以</w:t>
            </w:r>
            <w:r>
              <w:rPr>
                <w:rFonts w:hint="eastAsia" w:ascii="宋体" w:hAnsi="宋体" w:cs="宋体"/>
                <w:kern w:val="0"/>
                <w:szCs w:val="21"/>
                <w:lang w:bidi="lo-LA"/>
              </w:rPr>
              <w:t>克服术中堵塞难题</w:t>
            </w:r>
            <w:r>
              <w:rPr>
                <w:rFonts w:hint="eastAsia" w:ascii="宋体" w:hAnsi="宋体" w:cs="宋体"/>
                <w:kern w:val="0"/>
                <w:szCs w:val="21"/>
                <w:lang w:eastAsia="zh-CN" w:bidi="lo-LA"/>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宋体" w:hAnsi="宋体" w:cs="宋体"/>
                <w:kern w:val="0"/>
                <w:szCs w:val="21"/>
                <w:lang w:val="en-US" w:eastAsia="zh-CN" w:bidi="lo-LA"/>
              </w:rPr>
              <w:t>4</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kern w:val="0"/>
                <w:sz w:val="21"/>
                <w:szCs w:val="21"/>
                <w:lang w:eastAsia="zh-CN" w:bidi="lo-LA"/>
              </w:rPr>
            </w:pPr>
            <w:r>
              <w:rPr>
                <w:rFonts w:hint="eastAsia" w:ascii="宋体" w:hAnsi="宋体" w:cs="宋体"/>
                <w:kern w:val="0"/>
                <w:szCs w:val="21"/>
                <w:lang w:val="en-US" w:eastAsia="zh-CN" w:bidi="lo-LA"/>
              </w:rPr>
              <w:t>应采用</w:t>
            </w:r>
            <w:r>
              <w:rPr>
                <w:rFonts w:hint="eastAsia" w:ascii="宋体" w:hAnsi="宋体" w:eastAsia="宋体" w:cs="宋体"/>
                <w:kern w:val="0"/>
                <w:szCs w:val="21"/>
                <w:lang w:eastAsia="zh-CN" w:bidi="lo-LA"/>
              </w:rPr>
              <w:t>握笔式设计，可自由改变方向和方位</w:t>
            </w:r>
            <w:r>
              <w:rPr>
                <w:rFonts w:hint="eastAsia" w:ascii="宋体" w:hAnsi="宋体" w:cs="宋体"/>
                <w:kern w:val="0"/>
                <w:szCs w:val="21"/>
                <w:lang w:eastAsia="zh-CN" w:bidi="lo-LA"/>
              </w:rPr>
              <w:t>。</w:t>
            </w:r>
          </w:p>
        </w:tc>
      </w:tr>
      <w:tr>
        <w:tblPrEx>
          <w:tblCellMar>
            <w:top w:w="0" w:type="dxa"/>
            <w:left w:w="108" w:type="dxa"/>
            <w:bottom w:w="0" w:type="dxa"/>
            <w:right w:w="108" w:type="dxa"/>
          </w:tblCellMar>
        </w:tblPrEx>
        <w:trPr>
          <w:trHeight w:val="13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宋体" w:hAnsi="宋体" w:cs="宋体"/>
                <w:kern w:val="0"/>
                <w:szCs w:val="21"/>
                <w:lang w:val="en-US" w:eastAsia="zh-CN" w:bidi="lo-LA"/>
              </w:rPr>
              <w:t>5</w:t>
            </w:r>
          </w:p>
        </w:tc>
        <w:tc>
          <w:tcPr>
            <w:tcW w:w="7085" w:type="dxa"/>
            <w:tcBorders>
              <w:top w:val="single" w:color="auto" w:sz="4" w:space="0"/>
              <w:left w:val="nil"/>
              <w:bottom w:val="single" w:color="auto" w:sz="4" w:space="0"/>
              <w:right w:val="single" w:color="auto" w:sz="4" w:space="0"/>
            </w:tcBorders>
            <w:vAlign w:val="center"/>
          </w:tcPr>
          <w:p>
            <w:pPr>
              <w:snapToGrid w:val="0"/>
              <w:spacing w:line="300" w:lineRule="auto"/>
              <w:jc w:val="both"/>
              <w:rPr>
                <w:rFonts w:hint="eastAsia" w:ascii="宋体" w:hAnsi="宋体" w:eastAsia="宋体" w:cs="宋体"/>
                <w:kern w:val="0"/>
                <w:sz w:val="21"/>
                <w:szCs w:val="21"/>
                <w:lang w:eastAsia="zh-CN" w:bidi="lo-LA"/>
              </w:rPr>
            </w:pPr>
            <w:r>
              <w:rPr>
                <w:rFonts w:hint="eastAsia" w:ascii="宋体" w:hAnsi="宋体" w:eastAsia="宋体" w:cs="宋体"/>
                <w:kern w:val="0"/>
                <w:szCs w:val="21"/>
                <w:lang w:eastAsia="zh-CN" w:bidi="lo-LA"/>
              </w:rPr>
              <w:t>手柄同电缆可用高温高压及低温等离子的方式消毒</w:t>
            </w:r>
            <w:r>
              <w:rPr>
                <w:rFonts w:hint="eastAsia" w:ascii="宋体" w:hAnsi="宋体" w:cs="宋体"/>
                <w:kern w:val="0"/>
                <w:szCs w:val="21"/>
                <w:lang w:eastAsia="zh-CN" w:bidi="lo-LA"/>
              </w:rPr>
              <w:t>。</w:t>
            </w:r>
          </w:p>
        </w:tc>
      </w:tr>
      <w:tr>
        <w:tblPrEx>
          <w:tblCellMar>
            <w:top w:w="0" w:type="dxa"/>
            <w:left w:w="108" w:type="dxa"/>
            <w:bottom w:w="0" w:type="dxa"/>
            <w:right w:w="108" w:type="dxa"/>
          </w:tblCellMar>
        </w:tblPrEx>
        <w:trPr>
          <w:trHeight w:val="25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宋体" w:hAnsi="宋体" w:cs="宋体"/>
                <w:kern w:val="0"/>
                <w:szCs w:val="21"/>
                <w:lang w:val="en-US" w:eastAsia="zh-CN" w:bidi="lo-LA"/>
              </w:rPr>
              <w:t>6</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default" w:ascii="宋体" w:hAnsi="宋体" w:eastAsia="宋体" w:cs="宋体"/>
                <w:kern w:val="0"/>
                <w:sz w:val="21"/>
                <w:szCs w:val="21"/>
                <w:lang w:val="en-US" w:eastAsia="zh-CN" w:bidi="lo-LA"/>
              </w:rPr>
            </w:pPr>
            <w:r>
              <w:rPr>
                <w:rFonts w:hint="eastAsia" w:ascii="宋体" w:hAnsi="宋体" w:eastAsia="宋体" w:cs="宋体"/>
                <w:kern w:val="0"/>
                <w:szCs w:val="21"/>
                <w:lang w:eastAsia="zh-CN" w:bidi="lo-LA"/>
              </w:rPr>
              <w:t>手柄</w:t>
            </w:r>
            <w:r>
              <w:rPr>
                <w:rFonts w:hint="eastAsia" w:ascii="宋体" w:hAnsi="宋体" w:cs="宋体"/>
                <w:kern w:val="0"/>
                <w:szCs w:val="21"/>
                <w:lang w:val="en-US" w:eastAsia="zh-CN" w:bidi="lo-LA"/>
              </w:rPr>
              <w:t>应</w:t>
            </w:r>
            <w:r>
              <w:rPr>
                <w:rFonts w:hint="eastAsia" w:ascii="宋体" w:hAnsi="宋体" w:eastAsia="宋体" w:cs="宋体"/>
                <w:kern w:val="0"/>
                <w:szCs w:val="21"/>
                <w:lang w:eastAsia="zh-CN" w:bidi="lo-LA"/>
              </w:rPr>
              <w:t>可以控制刀头仅刀口360度旋转。</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宋体" w:hAnsi="宋体" w:cs="宋体"/>
                <w:kern w:val="0"/>
                <w:szCs w:val="21"/>
                <w:lang w:val="en-US" w:eastAsia="zh-CN" w:bidi="lo-LA"/>
              </w:rPr>
              <w:t>7</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kern w:val="0"/>
                <w:sz w:val="21"/>
                <w:szCs w:val="21"/>
                <w:lang w:eastAsia="zh-CN" w:bidi="lo-LA"/>
              </w:rPr>
            </w:pPr>
            <w:r>
              <w:rPr>
                <w:rFonts w:hint="eastAsia" w:ascii="宋体" w:hAnsi="宋体" w:eastAsia="宋体" w:cs="宋体"/>
                <w:kern w:val="0"/>
                <w:szCs w:val="21"/>
                <w:lang w:eastAsia="zh-CN" w:bidi="lo-LA"/>
              </w:rPr>
              <w:t>具有可扩展性，可连接导航刀</w:t>
            </w:r>
            <w:r>
              <w:rPr>
                <w:rFonts w:hint="eastAsia" w:ascii="宋体" w:hAnsi="宋体" w:eastAsia="宋体" w:cs="宋体"/>
                <w:kern w:val="0"/>
                <w:szCs w:val="21"/>
                <w:lang w:val="en-US" w:eastAsia="zh-CN" w:bidi="lo-LA"/>
              </w:rPr>
              <w:t>头</w:t>
            </w:r>
            <w:r>
              <w:rPr>
                <w:rFonts w:hint="eastAsia" w:ascii="宋体" w:hAnsi="宋体" w:eastAsia="宋体" w:cs="宋体"/>
                <w:kern w:val="0"/>
                <w:szCs w:val="21"/>
                <w:lang w:eastAsia="zh-CN" w:bidi="lo-LA"/>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宋体" w:hAnsi="宋体" w:cs="宋体"/>
                <w:kern w:val="0"/>
                <w:szCs w:val="21"/>
                <w:lang w:val="en-US" w:eastAsia="zh-CN" w:bidi="lo-LA"/>
              </w:rPr>
              <w:t>8</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sz w:val="21"/>
                <w:szCs w:val="21"/>
                <w:lang w:eastAsia="zh-CN"/>
              </w:rPr>
            </w:pPr>
            <w:r>
              <w:rPr>
                <w:rFonts w:hint="eastAsia" w:ascii="宋体" w:hAnsi="宋体" w:eastAsia="宋体" w:cs="宋体"/>
                <w:kern w:val="0"/>
                <w:szCs w:val="21"/>
                <w:lang w:eastAsia="zh-CN" w:bidi="lo-LA"/>
              </w:rPr>
              <w:t>0°刀头</w:t>
            </w:r>
            <w:r>
              <w:rPr>
                <w:rFonts w:hint="eastAsia" w:ascii="宋体" w:hAnsi="宋体" w:cs="宋体"/>
                <w:kern w:val="0"/>
                <w:szCs w:val="21"/>
                <w:lang w:eastAsia="zh-CN" w:bidi="lo-LA"/>
              </w:rPr>
              <w:t>，</w:t>
            </w:r>
            <w:r>
              <w:rPr>
                <w:rFonts w:hint="eastAsia" w:ascii="宋体" w:hAnsi="宋体" w:cs="宋体"/>
                <w:kern w:val="0"/>
                <w:szCs w:val="21"/>
                <w:lang w:val="en-US" w:eastAsia="zh-CN" w:bidi="lo-LA"/>
              </w:rPr>
              <w:t>1把，</w:t>
            </w:r>
            <w:r>
              <w:rPr>
                <w:rFonts w:hint="eastAsia" w:ascii="宋体" w:hAnsi="宋体" w:eastAsia="宋体" w:cs="宋体"/>
                <w:kern w:val="0"/>
                <w:szCs w:val="21"/>
                <w:lang w:eastAsia="zh-CN" w:bidi="lo-LA"/>
              </w:rPr>
              <w:t>长度</w:t>
            </w:r>
            <w:r>
              <w:rPr>
                <w:rFonts w:hint="eastAsia" w:ascii="宋体" w:hAnsi="宋体" w:cs="宋体"/>
                <w:kern w:val="0"/>
                <w:szCs w:val="21"/>
                <w:lang w:val="en-US" w:eastAsia="zh-CN" w:bidi="lo-LA"/>
              </w:rPr>
              <w:t>不小于</w:t>
            </w:r>
            <w:r>
              <w:rPr>
                <w:rFonts w:hint="eastAsia" w:ascii="宋体" w:hAnsi="宋体" w:eastAsia="宋体" w:cs="宋体"/>
                <w:kern w:val="0"/>
                <w:szCs w:val="21"/>
                <w:lang w:eastAsia="zh-CN" w:bidi="lo-LA"/>
              </w:rPr>
              <w:t>1</w:t>
            </w:r>
            <w:r>
              <w:rPr>
                <w:rFonts w:hint="eastAsia" w:ascii="宋体" w:hAnsi="宋体" w:cs="宋体"/>
                <w:kern w:val="0"/>
                <w:szCs w:val="21"/>
                <w:lang w:val="en-US" w:eastAsia="zh-CN" w:bidi="lo-LA"/>
              </w:rPr>
              <w:t>0</w:t>
            </w:r>
            <w:r>
              <w:rPr>
                <w:rFonts w:hint="eastAsia" w:ascii="宋体" w:hAnsi="宋体" w:eastAsia="宋体" w:cs="宋体"/>
                <w:kern w:val="0"/>
                <w:szCs w:val="21"/>
                <w:lang w:eastAsia="zh-CN" w:bidi="lo-LA"/>
              </w:rPr>
              <w:t>cm</w:t>
            </w:r>
            <w:r>
              <w:rPr>
                <w:rFonts w:hint="eastAsia" w:ascii="宋体" w:hAnsi="宋体" w:cs="宋体"/>
                <w:kern w:val="0"/>
                <w:szCs w:val="21"/>
                <w:lang w:eastAsia="zh-CN" w:bidi="lo-LA"/>
              </w:rPr>
              <w:t>，</w:t>
            </w:r>
            <w:r>
              <w:rPr>
                <w:rFonts w:hint="eastAsia" w:ascii="宋体" w:hAnsi="宋体" w:eastAsia="宋体" w:cs="宋体"/>
                <w:kern w:val="0"/>
                <w:szCs w:val="21"/>
                <w:lang w:eastAsia="zh-CN" w:bidi="lo-LA"/>
              </w:rPr>
              <w:t>能切除鼻息肉及筛房</w:t>
            </w:r>
            <w:r>
              <w:rPr>
                <w:rFonts w:hint="eastAsia" w:ascii="宋体" w:hAnsi="宋体" w:cs="宋体"/>
                <w:kern w:val="0"/>
                <w:szCs w:val="21"/>
                <w:lang w:eastAsia="zh-CN" w:bidi="lo-LA"/>
              </w:rPr>
              <w:t>，</w:t>
            </w:r>
            <w:r>
              <w:rPr>
                <w:rFonts w:hint="eastAsia" w:ascii="宋体" w:hAnsi="宋体" w:cs="宋体"/>
                <w:kern w:val="0"/>
                <w:szCs w:val="21"/>
                <w:lang w:val="en-US" w:eastAsia="zh-CN" w:bidi="lo-LA"/>
              </w:rPr>
              <w:t>主要用于</w:t>
            </w:r>
            <w:r>
              <w:rPr>
                <w:rFonts w:hint="eastAsia" w:ascii="宋体" w:hAnsi="宋体" w:eastAsia="宋体" w:cs="宋体"/>
                <w:kern w:val="0"/>
                <w:szCs w:val="21"/>
                <w:lang w:eastAsia="zh-CN" w:bidi="lo-LA"/>
              </w:rPr>
              <w:t>锐性切割组织，充分保护周边粘膜，可切割筛窦骨性组织，</w:t>
            </w:r>
            <w:r>
              <w:rPr>
                <w:rFonts w:hint="eastAsia" w:ascii="宋体" w:hAnsi="宋体" w:cs="宋体"/>
                <w:kern w:val="0"/>
                <w:szCs w:val="21"/>
                <w:lang w:val="en-US" w:eastAsia="zh-CN" w:bidi="lo-LA"/>
              </w:rPr>
              <w:t>应</w:t>
            </w:r>
            <w:r>
              <w:rPr>
                <w:rFonts w:hint="eastAsia" w:ascii="宋体" w:hAnsi="宋体" w:eastAsia="宋体" w:cs="宋体"/>
                <w:kern w:val="0"/>
                <w:szCs w:val="21"/>
                <w:lang w:eastAsia="zh-CN" w:bidi="lo-LA"/>
              </w:rPr>
              <w:t>不易堵塞。</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bidi="lo-LA"/>
              </w:rPr>
            </w:pPr>
            <w:r>
              <w:rPr>
                <w:rFonts w:hint="eastAsia" w:ascii="宋体" w:hAnsi="宋体" w:cs="宋体"/>
                <w:kern w:val="0"/>
                <w:szCs w:val="21"/>
                <w:lang w:val="en-US" w:eastAsia="zh-CN" w:bidi="lo-LA"/>
              </w:rPr>
              <w:t>9</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sz w:val="21"/>
                <w:szCs w:val="21"/>
                <w:lang w:eastAsia="zh-CN"/>
              </w:rPr>
            </w:pPr>
            <w:r>
              <w:rPr>
                <w:rFonts w:hint="eastAsia" w:ascii="宋体" w:hAnsi="宋体" w:eastAsia="宋体" w:cs="宋体"/>
                <w:kern w:val="0"/>
                <w:szCs w:val="21"/>
                <w:lang w:eastAsia="zh-CN" w:bidi="lo-LA"/>
              </w:rPr>
              <w:t>40°刀头</w:t>
            </w:r>
            <w:r>
              <w:rPr>
                <w:rFonts w:hint="eastAsia" w:ascii="宋体" w:hAnsi="宋体" w:cs="宋体"/>
                <w:kern w:val="0"/>
                <w:szCs w:val="21"/>
                <w:lang w:eastAsia="zh-CN" w:bidi="lo-LA"/>
              </w:rPr>
              <w:t>，</w:t>
            </w:r>
            <w:r>
              <w:rPr>
                <w:rFonts w:hint="eastAsia" w:ascii="宋体" w:hAnsi="宋体" w:cs="宋体"/>
                <w:kern w:val="0"/>
                <w:szCs w:val="21"/>
                <w:lang w:val="en-US" w:eastAsia="zh-CN" w:bidi="lo-LA"/>
              </w:rPr>
              <w:t>1把，</w:t>
            </w:r>
            <w:r>
              <w:rPr>
                <w:rFonts w:hint="eastAsia" w:ascii="宋体" w:hAnsi="宋体" w:eastAsia="宋体" w:cs="宋体"/>
                <w:kern w:val="0"/>
                <w:szCs w:val="21"/>
                <w:lang w:eastAsia="zh-CN" w:bidi="lo-LA"/>
              </w:rPr>
              <w:t>长度</w:t>
            </w:r>
            <w:r>
              <w:rPr>
                <w:rFonts w:hint="eastAsia" w:ascii="宋体" w:hAnsi="宋体" w:cs="宋体"/>
                <w:kern w:val="0"/>
                <w:szCs w:val="21"/>
                <w:lang w:val="en-US" w:eastAsia="zh-CN" w:bidi="lo-LA"/>
              </w:rPr>
              <w:t>不小于</w:t>
            </w:r>
            <w:r>
              <w:rPr>
                <w:rFonts w:hint="eastAsia" w:ascii="宋体" w:hAnsi="宋体" w:eastAsia="宋体" w:cs="宋体"/>
                <w:kern w:val="0"/>
                <w:szCs w:val="21"/>
                <w:lang w:eastAsia="zh-CN" w:bidi="lo-LA"/>
              </w:rPr>
              <w:t>1</w:t>
            </w:r>
            <w:r>
              <w:rPr>
                <w:rFonts w:hint="eastAsia" w:ascii="宋体" w:hAnsi="宋体" w:cs="宋体"/>
                <w:kern w:val="0"/>
                <w:szCs w:val="21"/>
                <w:lang w:val="en-US" w:eastAsia="zh-CN" w:bidi="lo-LA"/>
              </w:rPr>
              <w:t>0</w:t>
            </w:r>
            <w:r>
              <w:rPr>
                <w:rFonts w:hint="eastAsia" w:ascii="宋体" w:hAnsi="宋体" w:eastAsia="宋体" w:cs="宋体"/>
                <w:kern w:val="0"/>
                <w:szCs w:val="21"/>
                <w:lang w:eastAsia="zh-CN" w:bidi="lo-LA"/>
              </w:rPr>
              <w:t>cm</w:t>
            </w:r>
            <w:r>
              <w:rPr>
                <w:rFonts w:hint="eastAsia" w:ascii="宋体" w:hAnsi="宋体" w:cs="宋体"/>
                <w:kern w:val="0"/>
                <w:szCs w:val="21"/>
                <w:lang w:eastAsia="zh-CN" w:bidi="lo-LA"/>
              </w:rPr>
              <w:t>，</w:t>
            </w:r>
            <w:r>
              <w:rPr>
                <w:rFonts w:hint="eastAsia" w:ascii="宋体" w:hAnsi="宋体" w:eastAsia="宋体" w:cs="宋体"/>
                <w:kern w:val="0"/>
                <w:szCs w:val="21"/>
                <w:lang w:eastAsia="zh-CN" w:bidi="lo-LA"/>
              </w:rPr>
              <w:t>能切除上额窦口组织</w:t>
            </w:r>
            <w:r>
              <w:rPr>
                <w:rFonts w:hint="eastAsia" w:ascii="宋体" w:hAnsi="宋体" w:cs="宋体"/>
                <w:kern w:val="0"/>
                <w:szCs w:val="21"/>
                <w:lang w:eastAsia="zh-CN" w:bidi="lo-LA"/>
              </w:rPr>
              <w:t>，</w:t>
            </w:r>
            <w:r>
              <w:rPr>
                <w:rFonts w:hint="eastAsia" w:ascii="宋体" w:hAnsi="宋体" w:eastAsia="宋体" w:cs="宋体"/>
                <w:kern w:val="0"/>
                <w:szCs w:val="21"/>
                <w:lang w:eastAsia="zh-CN" w:bidi="lo-LA"/>
              </w:rPr>
              <w:t>主要用于处理上颌窦窦口的病变</w:t>
            </w:r>
            <w:r>
              <w:rPr>
                <w:rFonts w:hint="eastAsia" w:ascii="宋体" w:hAnsi="宋体" w:eastAsia="宋体" w:cs="宋体"/>
                <w:kern w:val="0"/>
                <w:szCs w:val="21"/>
                <w:lang w:val="en-US" w:eastAsia="zh-CN" w:bidi="lo-LA"/>
              </w:rPr>
              <w:t>及扁桃体腺样体切除。</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宋体" w:hAnsi="宋体" w:cs="宋体"/>
                <w:kern w:val="0"/>
                <w:szCs w:val="21"/>
                <w:lang w:val="en-US" w:eastAsia="zh-CN" w:bidi="lo-LA"/>
              </w:rPr>
              <w:t>10</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sz w:val="21"/>
                <w:szCs w:val="21"/>
                <w:lang w:eastAsia="zh-CN"/>
              </w:rPr>
            </w:pPr>
            <w:r>
              <w:rPr>
                <w:rFonts w:hint="eastAsia" w:ascii="宋体" w:hAnsi="宋体" w:eastAsia="宋体" w:cs="宋体"/>
                <w:kern w:val="0"/>
                <w:szCs w:val="21"/>
                <w:lang w:eastAsia="zh-CN" w:bidi="lo-LA"/>
              </w:rPr>
              <w:t>60°刀头</w:t>
            </w:r>
            <w:r>
              <w:rPr>
                <w:rFonts w:hint="eastAsia" w:ascii="宋体" w:hAnsi="宋体" w:cs="宋体"/>
                <w:kern w:val="0"/>
                <w:szCs w:val="21"/>
                <w:lang w:eastAsia="zh-CN" w:bidi="lo-LA"/>
              </w:rPr>
              <w:t>，</w:t>
            </w:r>
            <w:r>
              <w:rPr>
                <w:rFonts w:hint="eastAsia" w:ascii="宋体" w:hAnsi="宋体" w:cs="宋体"/>
                <w:kern w:val="0"/>
                <w:szCs w:val="21"/>
                <w:lang w:val="en-US" w:eastAsia="zh-CN" w:bidi="lo-LA"/>
              </w:rPr>
              <w:t>1把，</w:t>
            </w:r>
            <w:r>
              <w:rPr>
                <w:rFonts w:hint="eastAsia" w:ascii="宋体" w:hAnsi="宋体" w:eastAsia="宋体" w:cs="宋体"/>
                <w:kern w:val="0"/>
                <w:szCs w:val="21"/>
                <w:lang w:eastAsia="zh-CN" w:bidi="lo-LA"/>
              </w:rPr>
              <w:t>长度</w:t>
            </w:r>
            <w:r>
              <w:rPr>
                <w:rFonts w:hint="eastAsia" w:ascii="宋体" w:hAnsi="宋体" w:cs="宋体"/>
                <w:kern w:val="0"/>
                <w:szCs w:val="21"/>
                <w:lang w:val="en-US" w:eastAsia="zh-CN" w:bidi="lo-LA"/>
              </w:rPr>
              <w:t>不小于</w:t>
            </w:r>
            <w:r>
              <w:rPr>
                <w:rFonts w:hint="eastAsia" w:ascii="宋体" w:hAnsi="宋体" w:eastAsia="宋体" w:cs="宋体"/>
                <w:kern w:val="0"/>
                <w:szCs w:val="21"/>
                <w:lang w:eastAsia="zh-CN" w:bidi="lo-LA"/>
              </w:rPr>
              <w:t>1</w:t>
            </w:r>
            <w:r>
              <w:rPr>
                <w:rFonts w:hint="eastAsia" w:ascii="宋体" w:hAnsi="宋体" w:cs="宋体"/>
                <w:kern w:val="0"/>
                <w:szCs w:val="21"/>
                <w:lang w:val="en-US" w:eastAsia="zh-CN" w:bidi="lo-LA"/>
              </w:rPr>
              <w:t>0</w:t>
            </w:r>
            <w:r>
              <w:rPr>
                <w:rFonts w:hint="eastAsia" w:ascii="宋体" w:hAnsi="宋体" w:eastAsia="宋体" w:cs="宋体"/>
                <w:kern w:val="0"/>
                <w:szCs w:val="21"/>
                <w:lang w:eastAsia="zh-CN" w:bidi="lo-LA"/>
              </w:rPr>
              <w:t>cm</w:t>
            </w:r>
            <w:r>
              <w:rPr>
                <w:rFonts w:hint="eastAsia" w:ascii="宋体" w:hAnsi="宋体" w:cs="宋体"/>
                <w:kern w:val="0"/>
                <w:szCs w:val="21"/>
                <w:lang w:eastAsia="zh-CN" w:bidi="lo-LA"/>
              </w:rPr>
              <w:t>，</w:t>
            </w:r>
            <w:r>
              <w:rPr>
                <w:rFonts w:hint="eastAsia" w:ascii="宋体" w:hAnsi="宋体" w:eastAsia="宋体" w:cs="宋体"/>
                <w:kern w:val="0"/>
                <w:szCs w:val="21"/>
                <w:lang w:eastAsia="zh-CN" w:bidi="lo-LA"/>
              </w:rPr>
              <w:t>能切除上额窦口组织</w:t>
            </w:r>
            <w:r>
              <w:rPr>
                <w:rFonts w:hint="eastAsia" w:ascii="宋体" w:hAnsi="宋体" w:cs="宋体"/>
                <w:kern w:val="0"/>
                <w:szCs w:val="21"/>
                <w:lang w:eastAsia="zh-CN" w:bidi="lo-LA"/>
              </w:rPr>
              <w:t>，</w:t>
            </w:r>
            <w:r>
              <w:rPr>
                <w:rFonts w:hint="eastAsia" w:ascii="宋体" w:hAnsi="宋体" w:eastAsia="宋体" w:cs="宋体"/>
                <w:kern w:val="0"/>
                <w:szCs w:val="21"/>
                <w:lang w:eastAsia="zh-CN" w:bidi="lo-LA"/>
              </w:rPr>
              <w:t>可进入上颌窦内，主要用于处理上颌窦底壁和前壁的病变。</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1"/>
                <w:szCs w:val="21"/>
                <w:lang w:val="en-US" w:eastAsia="zh-CN" w:bidi="lo-LA"/>
              </w:rPr>
            </w:pPr>
            <w:r>
              <w:rPr>
                <w:rFonts w:hint="eastAsia" w:ascii="宋体" w:hAnsi="宋体" w:cs="宋体"/>
                <w:kern w:val="0"/>
                <w:szCs w:val="21"/>
                <w:lang w:val="en-US" w:eastAsia="zh-CN" w:bidi="lo-LA"/>
              </w:rPr>
              <w:t>11</w:t>
            </w:r>
          </w:p>
        </w:tc>
        <w:tc>
          <w:tcPr>
            <w:tcW w:w="7085"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eastAsia="宋体" w:cs="宋体"/>
                <w:sz w:val="21"/>
                <w:szCs w:val="21"/>
                <w:lang w:eastAsia="zh-CN"/>
              </w:rPr>
            </w:pPr>
            <w:r>
              <w:rPr>
                <w:rFonts w:hint="eastAsia" w:ascii="宋体" w:hAnsi="宋体" w:cs="宋体"/>
                <w:kern w:val="0"/>
                <w:szCs w:val="21"/>
                <w:lang w:val="en-US" w:eastAsia="zh-CN" w:bidi="lo-LA"/>
              </w:rPr>
              <w:t>应可与美敦力XPS3000动力系统配套使用。</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sz w:val="21"/>
                <w:szCs w:val="21"/>
              </w:rPr>
            </w:pPr>
            <w:r>
              <w:rPr>
                <w:rFonts w:hint="eastAsia" w:ascii="宋体" w:hAnsi="宋体" w:eastAsia="宋体" w:cs="宋体"/>
                <w:kern w:val="0"/>
                <w:sz w:val="21"/>
                <w:szCs w:val="21"/>
                <w:lang w:val="en-US" w:eastAsia="zh-CN" w:bidi="lo-LA"/>
              </w:rPr>
              <w:t>中标单位所供设备的生产日期距合同签订日期应在6个月以内。</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both"/>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679" w:hRule="atLeast"/>
        </w:trPr>
        <w:tc>
          <w:tcPr>
            <w:tcW w:w="853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2.非主要技术参数，超过2条不满足即取消投标资格。</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十七、产品配置清单</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十八、其他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ODJiNTA2YzcwNjRjMjc0NmI4NDEwZTY3NjFjMGZmNzEifQ=="/>
  </w:docVars>
  <w:rsids>
    <w:rsidRoot w:val="00000000"/>
    <w:rsid w:val="002C273F"/>
    <w:rsid w:val="00556401"/>
    <w:rsid w:val="036C2F53"/>
    <w:rsid w:val="05076A5B"/>
    <w:rsid w:val="06B07F83"/>
    <w:rsid w:val="0A6A5C79"/>
    <w:rsid w:val="0DA07F51"/>
    <w:rsid w:val="10D60D02"/>
    <w:rsid w:val="11AB1717"/>
    <w:rsid w:val="11EF4694"/>
    <w:rsid w:val="150E71F6"/>
    <w:rsid w:val="1696735F"/>
    <w:rsid w:val="16E14FBF"/>
    <w:rsid w:val="19545A30"/>
    <w:rsid w:val="198E5E9E"/>
    <w:rsid w:val="19BD2CB7"/>
    <w:rsid w:val="1BB9254A"/>
    <w:rsid w:val="1DCA77EF"/>
    <w:rsid w:val="1ED20D4A"/>
    <w:rsid w:val="20341AF8"/>
    <w:rsid w:val="216D46C6"/>
    <w:rsid w:val="224C6733"/>
    <w:rsid w:val="23507ADC"/>
    <w:rsid w:val="24A7212A"/>
    <w:rsid w:val="25757733"/>
    <w:rsid w:val="259E391A"/>
    <w:rsid w:val="26470B4A"/>
    <w:rsid w:val="266437D3"/>
    <w:rsid w:val="267A5F90"/>
    <w:rsid w:val="26915EA6"/>
    <w:rsid w:val="276714E7"/>
    <w:rsid w:val="281659F6"/>
    <w:rsid w:val="293A1937"/>
    <w:rsid w:val="2B28723B"/>
    <w:rsid w:val="2B5C1706"/>
    <w:rsid w:val="2B8A6B32"/>
    <w:rsid w:val="2BAC4D24"/>
    <w:rsid w:val="2D1D3BDB"/>
    <w:rsid w:val="2D833519"/>
    <w:rsid w:val="2DFB03C5"/>
    <w:rsid w:val="2FC378C6"/>
    <w:rsid w:val="2FDF17DF"/>
    <w:rsid w:val="302671DA"/>
    <w:rsid w:val="30D15875"/>
    <w:rsid w:val="32441EA5"/>
    <w:rsid w:val="3281623F"/>
    <w:rsid w:val="32944704"/>
    <w:rsid w:val="34D54377"/>
    <w:rsid w:val="37FC75FC"/>
    <w:rsid w:val="383D56F7"/>
    <w:rsid w:val="393C0F46"/>
    <w:rsid w:val="3E650D1D"/>
    <w:rsid w:val="3E9002A8"/>
    <w:rsid w:val="3F552A03"/>
    <w:rsid w:val="44AA028A"/>
    <w:rsid w:val="4603606C"/>
    <w:rsid w:val="47C04769"/>
    <w:rsid w:val="486160DA"/>
    <w:rsid w:val="489F057B"/>
    <w:rsid w:val="4AED3729"/>
    <w:rsid w:val="4B5A6A79"/>
    <w:rsid w:val="4E473895"/>
    <w:rsid w:val="50110E80"/>
    <w:rsid w:val="511070DA"/>
    <w:rsid w:val="53560822"/>
    <w:rsid w:val="557D67C8"/>
    <w:rsid w:val="571E5CB6"/>
    <w:rsid w:val="59137211"/>
    <w:rsid w:val="5C344BB6"/>
    <w:rsid w:val="5DFF20EB"/>
    <w:rsid w:val="5E1C5429"/>
    <w:rsid w:val="5ED418C8"/>
    <w:rsid w:val="5EF71E76"/>
    <w:rsid w:val="616C33F6"/>
    <w:rsid w:val="62DE1443"/>
    <w:rsid w:val="62E24E32"/>
    <w:rsid w:val="64E47B74"/>
    <w:rsid w:val="6585763E"/>
    <w:rsid w:val="661108EC"/>
    <w:rsid w:val="669049D8"/>
    <w:rsid w:val="67D14995"/>
    <w:rsid w:val="6C0D60E9"/>
    <w:rsid w:val="6D4F63E7"/>
    <w:rsid w:val="6F3911E0"/>
    <w:rsid w:val="6F5104C0"/>
    <w:rsid w:val="719B7B32"/>
    <w:rsid w:val="71DA20A9"/>
    <w:rsid w:val="75080C92"/>
    <w:rsid w:val="78564BB1"/>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autoRedefine/>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autoRedefine/>
    <w:semiHidden/>
    <w:qFormat/>
    <w:uiPriority w:val="2"/>
  </w:style>
  <w:style w:type="table" w:default="1" w:styleId="9">
    <w:name w:val="Normal Table"/>
    <w:autoRedefine/>
    <w:semiHidden/>
    <w:qFormat/>
    <w:uiPriority w:val="3"/>
    <w:tblPr>
      <w:tblCellMar>
        <w:top w:w="0" w:type="dxa"/>
        <w:left w:w="108" w:type="dxa"/>
        <w:bottom w:w="0" w:type="dxa"/>
        <w:right w:w="108" w:type="dxa"/>
      </w:tblCellMar>
    </w:tblPr>
  </w:style>
  <w:style w:type="paragraph" w:styleId="4">
    <w:name w:val="Plain Text"/>
    <w:basedOn w:val="5"/>
    <w:next w:val="1"/>
    <w:autoRedefine/>
    <w:qFormat/>
    <w:uiPriority w:val="0"/>
    <w:rPr>
      <w:rFonts w:ascii="宋体" w:hAnsi="Courier New"/>
    </w:rPr>
  </w:style>
  <w:style w:type="paragraph" w:customStyle="1" w:styleId="5">
    <w:name w:val="Normal_6"/>
    <w:next w:val="4"/>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autoRedefine/>
    <w:qFormat/>
    <w:uiPriority w:val="151"/>
    <w:pPr>
      <w:tabs>
        <w:tab w:val="center" w:pos="4153"/>
        <w:tab w:val="right" w:pos="8306"/>
      </w:tabs>
      <w:snapToGrid w:val="0"/>
      <w:jc w:val="left"/>
    </w:pPr>
    <w:rPr>
      <w:sz w:val="18"/>
      <w:szCs w:val="18"/>
    </w:rPr>
  </w:style>
  <w:style w:type="paragraph" w:styleId="7">
    <w:name w:val="header"/>
    <w:basedOn w:val="1"/>
    <w:autoRedefine/>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autoRedefine/>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autoRedefine/>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autoRedefine/>
    <w:qFormat/>
    <w:uiPriority w:val="26"/>
    <w:pPr>
      <w:ind w:firstLine="200"/>
    </w:pPr>
    <w:rPr>
      <w:rFonts w:ascii="Times New Roman" w:hAnsi="Times New Roman" w:eastAsia="宋体" w:cs="Times New Roman"/>
      <w:sz w:val="28"/>
      <w:szCs w:val="28"/>
    </w:rPr>
  </w:style>
  <w:style w:type="character" w:customStyle="1" w:styleId="13">
    <w:name w:val="NormalCharacter"/>
    <w:link w:val="1"/>
    <w:autoRedefine/>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autoRedefine/>
    <w:qFormat/>
    <w:uiPriority w:val="0"/>
    <w:rPr>
      <w:rFonts w:hint="eastAsia" w:ascii="宋体" w:hAnsi="宋体" w:eastAsia="宋体" w:cs="宋体"/>
      <w:color w:val="000000"/>
      <w:sz w:val="24"/>
      <w:szCs w:val="24"/>
      <w:u w:val="none"/>
    </w:rPr>
  </w:style>
  <w:style w:type="character" w:customStyle="1" w:styleId="15">
    <w:name w:val="font31"/>
    <w:basedOn w:val="11"/>
    <w:autoRedefine/>
    <w:qFormat/>
    <w:uiPriority w:val="0"/>
    <w:rPr>
      <w:rFonts w:hint="eastAsia" w:ascii="宋体" w:hAnsi="宋体" w:eastAsia="宋体" w:cs="宋体"/>
      <w:color w:val="000000"/>
      <w:sz w:val="21"/>
      <w:szCs w:val="21"/>
      <w:u w:val="none"/>
    </w:rPr>
  </w:style>
  <w:style w:type="paragraph" w:customStyle="1" w:styleId="16">
    <w:name w:val="List Paragraph_4824d229-415e-4c56-a884-f4834b61f8de"/>
    <w:basedOn w:val="1"/>
    <w:autoRedefine/>
    <w:qFormat/>
    <w:uiPriority w:val="34"/>
    <w:pPr>
      <w:ind w:firstLine="420" w:firstLineChars="200"/>
    </w:pPr>
    <w:rPr>
      <w:rFonts w:ascii="Times New Roman" w:hAnsi="Times New Roman" w:eastAsia="宋体" w:cs="Times New Roman"/>
      <w:sz w:val="28"/>
      <w:szCs w:val="21"/>
    </w:rPr>
  </w:style>
  <w:style w:type="character" w:customStyle="1" w:styleId="17">
    <w:name w:val="font41"/>
    <w:basedOn w:val="11"/>
    <w:autoRedefine/>
    <w:qFormat/>
    <w:uiPriority w:val="0"/>
    <w:rPr>
      <w:rFonts w:ascii="Calibri" w:hAnsi="Calibri" w:cs="Calibri"/>
      <w:color w:val="000000"/>
      <w:sz w:val="28"/>
      <w:szCs w:val="28"/>
      <w:u w:val="none"/>
    </w:rPr>
  </w:style>
  <w:style w:type="character" w:customStyle="1" w:styleId="18">
    <w:name w:val="font2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6874</Words>
  <Characters>7938</Characters>
  <Lines>0</Lines>
  <Paragraphs>0</Paragraphs>
  <TotalTime>0</TotalTime>
  <ScaleCrop>false</ScaleCrop>
  <LinksUpToDate>false</LinksUpToDate>
  <CharactersWithSpaces>8255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安于現狀╮</cp:lastModifiedBy>
  <dcterms:modified xsi:type="dcterms:W3CDTF">2024-03-27T09:08:03Z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047CD22AB79E4DFAA90A0787A91CCF4F_13</vt:lpwstr>
  </property>
  <property fmtid="{D5CDD505-2E9C-101B-9397-08002B2CF9AE}" pid="4" name="commondata">
    <vt:lpwstr>eyJoZGlkIjoiM2I5YmQyM2VlMzIyNzg3MTM0MjMzMjczYWU0N2U3MTcifQ==</vt:lpwstr>
  </property>
</Properties>
</file>