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2361565" cy="236156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361565" cy="236156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pStyle w:val="4"/>
        <w:rPr>
          <w:rFonts w:hint="eastAsia"/>
          <w:b w:val="0"/>
          <w:sz w:val="28"/>
          <w:szCs w:val="28"/>
          <w:lang w:val="en-US" w:eastAsia="zh-CN"/>
        </w:rPr>
      </w:pPr>
    </w:p>
    <w:p>
      <w:pPr>
        <w:rPr>
          <w:rFonts w:hint="eastAsia"/>
          <w:b w:val="0"/>
          <w:sz w:val="28"/>
          <w:szCs w:val="28"/>
          <w:lang w:val="en-US" w:eastAsia="zh-CN"/>
        </w:rPr>
      </w:pPr>
    </w:p>
    <w:p>
      <w:pPr>
        <w:pStyle w:val="4"/>
        <w:rPr>
          <w:rFonts w:hint="eastAsia"/>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36"/>
          <w:szCs w:val="36"/>
          <w:lang w:val="en-US" w:eastAsia="zh-CN"/>
        </w:rPr>
      </w:pPr>
      <w:bookmarkStart w:id="2" w:name="_GoBack"/>
      <w:r>
        <w:rPr>
          <w:rFonts w:hint="eastAsia" w:ascii="黑体" w:hAnsi="黑体" w:eastAsia="黑体" w:cs="黑体"/>
          <w:b/>
          <w:sz w:val="36"/>
          <w:szCs w:val="36"/>
          <w:lang w:val="en-US" w:eastAsia="zh-CN"/>
        </w:rPr>
        <w:t>口腔综合治疗台等项目</w:t>
      </w:r>
      <w:bookmarkEnd w:id="2"/>
      <w:r>
        <w:rPr>
          <w:rFonts w:hint="eastAsia" w:ascii="黑体" w:hAnsi="黑体" w:eastAsia="黑体" w:cs="黑体"/>
          <w:b/>
          <w:sz w:val="36"/>
          <w:szCs w:val="36"/>
          <w:lang w:val="en-US" w:eastAsia="zh-CN"/>
        </w:rPr>
        <w:t xml:space="preserve">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2024年4月22日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default" w:ascii="宋体" w:hAnsi="宋体" w:eastAsia="宋体"/>
          <w:bCs/>
          <w:kern w:val="44"/>
          <w:sz w:val="24"/>
          <w:szCs w:val="24"/>
          <w:lang w:val="en-US" w:eastAsia="zh-CN"/>
        </w:rPr>
      </w:pPr>
      <w:r>
        <w:rPr>
          <w:rFonts w:hint="eastAsia" w:ascii="宋体" w:hAnsi="宋体"/>
          <w:bCs/>
          <w:kern w:val="44"/>
          <w:sz w:val="24"/>
          <w:szCs w:val="24"/>
          <w:lang w:val="zh-CN"/>
        </w:rPr>
        <w:t>一.主要商务要求</w:t>
      </w:r>
      <w:r>
        <w:rPr>
          <w:rFonts w:hint="eastAsia" w:ascii="宋体" w:hAnsi="宋体" w:eastAsia="宋体"/>
          <w:bCs/>
          <w:kern w:val="44"/>
          <w:sz w:val="24"/>
          <w:szCs w:val="24"/>
          <w:lang w:val="en-US" w:eastAsia="zh-CN"/>
        </w:rPr>
        <w:t xml:space="preserve">                                          金额：元</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口腔综合治疗台</w:t>
            </w:r>
          </w:p>
        </w:tc>
        <w:tc>
          <w:tcPr>
            <w:tcW w:w="903" w:type="dxa"/>
            <w:vAlign w:val="center"/>
          </w:tcPr>
          <w:p>
            <w:pPr>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19800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217800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种植椅</w:t>
            </w:r>
          </w:p>
        </w:tc>
        <w:tc>
          <w:tcPr>
            <w:tcW w:w="903" w:type="dxa"/>
            <w:vAlign w:val="center"/>
          </w:tcPr>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46800</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46800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264600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甲方在设备验收通过后，支付总货款的90%，验收通过使用一年后支付剩余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包含11台</w:t>
      </w:r>
      <w:r>
        <w:rPr>
          <w:rFonts w:hint="default" w:ascii="宋体" w:hAnsi="宋体" w:cs="宋体" w:eastAsiaTheme="minorEastAsia"/>
          <w:kern w:val="0"/>
          <w:sz w:val="24"/>
          <w:szCs w:val="24"/>
          <w:u w:val="single"/>
          <w:lang w:val="en-US" w:eastAsia="zh-CN"/>
        </w:rPr>
        <w:t>口腔综合治疗台</w:t>
      </w:r>
      <w:r>
        <w:rPr>
          <w:rFonts w:hint="eastAsia" w:ascii="宋体" w:hAnsi="宋体" w:cs="宋体"/>
          <w:kern w:val="0"/>
          <w:sz w:val="24"/>
          <w:szCs w:val="24"/>
          <w:u w:val="single"/>
          <w:lang w:val="en-US" w:eastAsia="zh-CN"/>
        </w:rPr>
        <w:t>和1台种植椅</w:t>
      </w:r>
      <w:r>
        <w:rPr>
          <w:rFonts w:hint="eastAsia" w:ascii="宋体" w:hAnsi="宋体"/>
          <w:sz w:val="24"/>
          <w:szCs w:val="24"/>
          <w:u w:val="single"/>
          <w:lang w:val="en-US" w:eastAsia="zh-CN"/>
        </w:rPr>
        <w:t>，用于口腔科门诊的日常诊疗工作</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lang w:val="en-US" w:eastAsia="zh-CN"/>
        </w:rPr>
        <w:t xml:space="preserve">共一包 </w:t>
      </w:r>
      <w:r>
        <w:rPr>
          <w:rFonts w:hint="eastAsia" w:ascii="宋体" w:hAnsi="宋体" w:cs="宋体"/>
          <w:sz w:val="24"/>
          <w:szCs w:val="24"/>
        </w:rPr>
        <w:t>货物需求一览表：</w:t>
      </w:r>
    </w:p>
    <w:tbl>
      <w:tblPr>
        <w:tblStyle w:val="9"/>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90"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default" w:ascii="宋体" w:hAnsi="宋体" w:cs="宋体" w:eastAsiaTheme="minorEastAsia"/>
                <w:kern w:val="0"/>
                <w:sz w:val="24"/>
                <w:szCs w:val="24"/>
                <w:lang w:val="en-US" w:eastAsia="zh-CN"/>
              </w:rPr>
              <w:t>口腔综合治疗台</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90"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default" w:ascii="宋体" w:hAnsi="宋体" w:cs="宋体" w:eastAsiaTheme="minorEastAsia"/>
                <w:kern w:val="0"/>
                <w:sz w:val="24"/>
                <w:szCs w:val="24"/>
                <w:lang w:val="en-US" w:eastAsia="zh-CN"/>
              </w:rPr>
              <w:t>种植椅</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口腔综合治疗台</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9"/>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技术参数和性能指标</w:t>
            </w:r>
          </w:p>
        </w:tc>
      </w:tr>
      <w:tr>
        <w:tblPrEx>
          <w:tblCellMar>
            <w:top w:w="0" w:type="dxa"/>
            <w:left w:w="108" w:type="dxa"/>
            <w:bottom w:w="0" w:type="dxa"/>
            <w:right w:w="108" w:type="dxa"/>
          </w:tblCellMar>
        </w:tblPrEx>
        <w:trPr>
          <w:trHeight w:val="650"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eastAsia="zh-CN"/>
              </w:rPr>
            </w:pPr>
            <w:r>
              <w:rPr>
                <w:rFonts w:hint="eastAsia"/>
              </w:rPr>
              <w:t>供气压力范围</w:t>
            </w:r>
            <w:r>
              <w:rPr>
                <w:rFonts w:hint="eastAsia"/>
                <w:lang w:eastAsia="zh-CN"/>
              </w:rPr>
              <w:t>：</w:t>
            </w:r>
            <w:r>
              <w:rPr>
                <w:rFonts w:hint="eastAsia"/>
              </w:rPr>
              <w:t>0.55—0.80Mpa</w:t>
            </w:r>
            <w:r>
              <w:rPr>
                <w:rFonts w:hint="eastAsia"/>
                <w:lang w:eastAsia="zh-CN"/>
              </w:rPr>
              <w:t>，</w:t>
            </w:r>
            <w:r>
              <w:rPr>
                <w:rFonts w:hint="eastAsia"/>
              </w:rPr>
              <w:t>流量≥55L/min</w:t>
            </w:r>
            <w:r>
              <w:rPr>
                <w:rFonts w:hint="eastAsia"/>
                <w:lang w:eastAsia="zh-CN"/>
              </w:rPr>
              <w:t>；</w:t>
            </w:r>
          </w:p>
          <w:p>
            <w:pPr>
              <w:widowControl/>
              <w:spacing w:line="240" w:lineRule="auto"/>
              <w:jc w:val="left"/>
              <w:rPr>
                <w:rFonts w:hint="eastAsia"/>
              </w:rPr>
            </w:pPr>
            <w:r>
              <w:rPr>
                <w:rFonts w:hint="eastAsia"/>
              </w:rPr>
              <w:t>水源水压范围</w:t>
            </w:r>
            <w:r>
              <w:rPr>
                <w:rFonts w:hint="eastAsia"/>
                <w:lang w:eastAsia="zh-CN"/>
              </w:rPr>
              <w:t>：</w:t>
            </w:r>
            <w:r>
              <w:rPr>
                <w:rFonts w:hint="eastAsia"/>
              </w:rPr>
              <w:t>0.2—0.4Mpa</w:t>
            </w:r>
            <w:r>
              <w:rPr>
                <w:rFonts w:hint="eastAsia"/>
                <w:lang w:eastAsia="zh-CN"/>
              </w:rPr>
              <w:t>，</w:t>
            </w:r>
            <w:r>
              <w:rPr>
                <w:rFonts w:hint="eastAsia"/>
              </w:rPr>
              <w:t>流量≥10L/min</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rPr>
              <w:t>口腔灯：</w:t>
            </w:r>
            <w:r>
              <w:rPr>
                <w:rFonts w:hint="eastAsia"/>
                <w:lang w:val="en-US" w:eastAsia="zh-CN"/>
              </w:rPr>
              <w:t>应</w:t>
            </w:r>
            <w:r>
              <w:rPr>
                <w:rFonts w:hint="eastAsia"/>
              </w:rPr>
              <w:t>与治疗机同品牌，感应LED冷光灯，最大色温≥5000K；照度可进行无极调节，最高照度≥30000Lux，无接触式控制。</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rPr>
              <w:t>手术灯：</w:t>
            </w:r>
            <w:r>
              <w:rPr>
                <w:rFonts w:hint="eastAsia"/>
                <w:lang w:val="en-US" w:eastAsia="zh-CN"/>
              </w:rPr>
              <w:t>应</w:t>
            </w:r>
            <w:r>
              <w:rPr>
                <w:rFonts w:hint="eastAsia"/>
              </w:rPr>
              <w:t>与治疗机同品牌，可多方位旋转的LED无影手术灯，拥有≥20颗灯珠，可手动和感应调节光照强度，最大光照强度≥70000Lux，灯光照明深度≥1700mm；可产生直径≥20cm的超大圆形光斑，足以覆盖全口腔照明；配置可拆卸消毒的手柄。</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val="en-US" w:eastAsia="zh-CN"/>
              </w:rPr>
            </w:pPr>
            <w:r>
              <w:rPr>
                <w:rFonts w:hint="eastAsia"/>
              </w:rPr>
              <w:t>牙科椅</w:t>
            </w:r>
            <w:r>
              <w:rPr>
                <w:rFonts w:hint="eastAsia"/>
                <w:lang w:eastAsia="zh-CN"/>
              </w:rPr>
              <w:t>：</w:t>
            </w:r>
            <w:r>
              <w:rPr>
                <w:rFonts w:hint="eastAsia"/>
              </w:rPr>
              <w:t>整体</w:t>
            </w:r>
            <w:r>
              <w:rPr>
                <w:rFonts w:hint="eastAsia"/>
                <w:lang w:val="en-US" w:eastAsia="zh-CN"/>
              </w:rPr>
              <w:t>应</w:t>
            </w:r>
            <w:r>
              <w:rPr>
                <w:rFonts w:hint="eastAsia"/>
              </w:rPr>
              <w:t>采用金属材质骨架和底座，座椅承重范围</w:t>
            </w:r>
            <w:r>
              <w:rPr>
                <w:rFonts w:hint="eastAsia"/>
                <w:lang w:val="en-US" w:eastAsia="zh-CN"/>
              </w:rPr>
              <w:t>≥</w:t>
            </w:r>
            <w:r>
              <w:rPr>
                <w:rFonts w:hint="eastAsia"/>
              </w:rPr>
              <w:t>160kg，可承受</w:t>
            </w:r>
            <w:r>
              <w:rPr>
                <w:rFonts w:hint="eastAsia"/>
                <w:lang w:val="en-US" w:eastAsia="zh-CN"/>
              </w:rPr>
              <w:t>≥</w:t>
            </w:r>
            <w:r>
              <w:rPr>
                <w:rFonts w:hint="eastAsia"/>
              </w:rPr>
              <w:t>160kg*4的载荷试验；座椅升降范围：最高</w:t>
            </w:r>
            <w:r>
              <w:rPr>
                <w:rFonts w:hint="eastAsia"/>
                <w:lang w:val="en-US" w:eastAsia="zh-CN"/>
              </w:rPr>
              <w:t>≥760</w:t>
            </w:r>
            <w:r>
              <w:rPr>
                <w:rFonts w:hint="eastAsia"/>
              </w:rPr>
              <w:t>mm，最低≤370mm；座椅后倾角≥10°；椅背可调至低于水平≤15°</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eastAsia="zh-CN"/>
              </w:rPr>
            </w:pPr>
            <w:r>
              <w:rPr>
                <w:rFonts w:hint="eastAsia"/>
              </w:rPr>
              <w:t>牙科椅</w:t>
            </w:r>
            <w:r>
              <w:rPr>
                <w:rFonts w:hint="eastAsia"/>
                <w:lang w:eastAsia="zh-CN"/>
              </w:rPr>
              <w:t>：</w:t>
            </w:r>
            <w:r>
              <w:rPr>
                <w:rFonts w:hint="eastAsia"/>
              </w:rPr>
              <w:t>靠背主体</w:t>
            </w:r>
            <w:r>
              <w:rPr>
                <w:rFonts w:hint="eastAsia"/>
                <w:lang w:val="en-US" w:eastAsia="zh-CN"/>
              </w:rPr>
              <w:t>应</w:t>
            </w:r>
            <w:r>
              <w:rPr>
                <w:rFonts w:hint="eastAsia"/>
              </w:rPr>
              <w:t>采用冷轧钢板和静电喷涂工艺；坐垫和靠背背板</w:t>
            </w:r>
            <w:r>
              <w:rPr>
                <w:rFonts w:hint="eastAsia"/>
                <w:lang w:val="en-US" w:eastAsia="zh-CN"/>
              </w:rPr>
              <w:t>应</w:t>
            </w:r>
            <w:r>
              <w:rPr>
                <w:rFonts w:hint="eastAsia"/>
              </w:rPr>
              <w:t>为ABS工程塑料的材质，防潮防霉</w:t>
            </w:r>
            <w:r>
              <w:rPr>
                <w:rFonts w:hint="eastAsia"/>
                <w:lang w:eastAsia="zh-CN"/>
              </w:rPr>
              <w:t>；</w:t>
            </w:r>
            <w:r>
              <w:rPr>
                <w:rFonts w:hint="eastAsia"/>
                <w:lang w:val="en-US" w:eastAsia="zh-CN"/>
              </w:rPr>
              <w:t>应为</w:t>
            </w:r>
            <w:r>
              <w:rPr>
                <w:rFonts w:hint="eastAsia"/>
              </w:rPr>
              <w:t>免工具挂扣式安装方式，方便拆卸清洁</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rPr>
              <w:t>牙科椅</w:t>
            </w:r>
            <w:r>
              <w:rPr>
                <w:rFonts w:hint="eastAsia"/>
                <w:lang w:eastAsia="zh-CN"/>
              </w:rPr>
              <w:t>：</w:t>
            </w:r>
            <w:r>
              <w:rPr>
                <w:rFonts w:hint="eastAsia"/>
              </w:rPr>
              <w:t>弯板</w:t>
            </w:r>
            <w:r>
              <w:rPr>
                <w:rFonts w:hint="eastAsia"/>
                <w:lang w:val="en-US" w:eastAsia="zh-CN"/>
              </w:rPr>
              <w:t>应</w:t>
            </w:r>
            <w:r>
              <w:rPr>
                <w:rFonts w:hint="eastAsia"/>
              </w:rPr>
              <w:t>采用精密铝合金铸造工艺</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rPr>
              <w:t>牙科椅</w:t>
            </w:r>
            <w:r>
              <w:rPr>
                <w:rFonts w:hint="eastAsia"/>
                <w:lang w:eastAsia="zh-CN"/>
              </w:rPr>
              <w:t>：</w:t>
            </w:r>
            <w:r>
              <w:rPr>
                <w:rFonts w:hint="eastAsia"/>
              </w:rPr>
              <w:t>牙椅皮革采用接触面无缝工艺缝制，便于感控；皮革表面具备防霉抗菌涂层，参照A</w:t>
            </w:r>
            <w:r>
              <w:rPr>
                <w:rFonts w:hint="eastAsia"/>
                <w:lang w:val="en-US" w:eastAsia="zh-CN"/>
              </w:rPr>
              <w:t>S</w:t>
            </w:r>
            <w:r>
              <w:rPr>
                <w:rFonts w:hint="eastAsia"/>
              </w:rPr>
              <w:t>TM G21-96（2002）标准，防霉效果为“不长菌落”；参照ISO 22196-2007标准，大肠杆菌和金黄色葡萄球菌的抗菌率皆不低于99.9%</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eastAsia="zh-CN"/>
              </w:rPr>
            </w:pPr>
            <w:r>
              <w:rPr>
                <w:rFonts w:hint="eastAsia"/>
              </w:rPr>
              <w:t>牙科椅</w:t>
            </w:r>
            <w:r>
              <w:rPr>
                <w:rFonts w:hint="eastAsia"/>
                <w:lang w:eastAsia="zh-CN"/>
              </w:rPr>
              <w:t>：</w:t>
            </w:r>
            <w:r>
              <w:rPr>
                <w:rFonts w:hint="eastAsia"/>
              </w:rPr>
              <w:t>头枕长度</w:t>
            </w:r>
            <w:r>
              <w:rPr>
                <w:rFonts w:hint="eastAsia"/>
                <w:lang w:val="en-US" w:eastAsia="zh-CN"/>
              </w:rPr>
              <w:t>应</w:t>
            </w:r>
            <w:r>
              <w:rPr>
                <w:rFonts w:hint="eastAsia"/>
              </w:rPr>
              <w:t>可在0-150mm间调节；头枕旋钮不阻碍医生腿部动作</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lang w:eastAsia="zh-CN"/>
              </w:rPr>
            </w:pPr>
            <w:r>
              <w:rPr>
                <w:rFonts w:hint="eastAsia"/>
              </w:rPr>
              <w:t>牙科椅</w:t>
            </w:r>
            <w:r>
              <w:rPr>
                <w:rFonts w:hint="eastAsia"/>
                <w:lang w:eastAsia="zh-CN"/>
              </w:rPr>
              <w:t>：</w:t>
            </w:r>
            <w:r>
              <w:rPr>
                <w:rFonts w:hint="eastAsia"/>
              </w:rPr>
              <w:t>座椅扶手</w:t>
            </w:r>
            <w:r>
              <w:rPr>
                <w:rFonts w:hint="eastAsia"/>
                <w:lang w:val="en-US" w:eastAsia="zh-CN"/>
              </w:rPr>
              <w:t>应</w:t>
            </w:r>
            <w:r>
              <w:rPr>
                <w:rFonts w:hint="eastAsia"/>
              </w:rPr>
              <w:t>为前翻式设计，扶手连接处位于椅身中部，不阻碍医生腿部动作，医生侧的扶手可向前翻转≥150°，便于患者上下牙椅</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10</w:t>
            </w:r>
          </w:p>
        </w:tc>
        <w:tc>
          <w:tcPr>
            <w:tcW w:w="7061" w:type="dxa"/>
            <w:tcBorders>
              <w:top w:val="single" w:color="auto" w:sz="4" w:space="0"/>
              <w:left w:val="nil"/>
              <w:bottom w:val="single" w:color="auto" w:sz="4" w:space="0"/>
              <w:right w:val="single" w:color="auto" w:sz="4" w:space="0"/>
            </w:tcBorders>
            <w:vAlign w:val="center"/>
          </w:tcPr>
          <w:p>
            <w:pPr>
              <w:pStyle w:val="19"/>
              <w:spacing w:before="60" w:beforeAutospacing="0" w:after="60" w:afterAutospacing="0" w:line="312" w:lineRule="auto"/>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牙科椅：配备防误触急停开关，应采用平头内槽式设计，具有急停保护装置。</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牙科椅：具备椅位补偿功能，靠背仰俯操作同时坐垫进行同方向小幅度抬升或回落，让患者治疗体验更舒适。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消毒系统：消毒液可同时覆盖手机管、三用枪管、洁牙机管和水杯供水管道所有诊疗用水的出水口，确保水路管路消毒的全面性。</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采用下挂式器械盘，配置≥10功能按键的控制面板，防滑透明硅胶软垫和低压24伏观灯。</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平衡臂可承受重≥5KG，放置重物时运行移动平稳顺滑，稳定可靠。</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侧箱内部为整体铸造铝合金箱架，重量轻，耐腐蚀，铸铝材质分析参照测试方法GB/T 7999-2015，测试结果符合JIS H5302-2006中ADC12牌号要求。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侧箱外壳耐酒精消毒，耐UV老化，参照ISO 4892-3:2016, Cycle 1耐UV老化测试的标准，灰卡等级≥3。</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侧箱双边侧门可完全打开，侧箱门固定采用磁铁吸附，无需工具就可以快速拆卸和安装。</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侧箱可直接旋转至坐垫前方，使其可免拆卸侧箱进入≤80cm的窄门，提升安装维修效率。</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侧箱单元：可旋转≥90°的一体式陶瓷痰盂缸；具有漱口水恒温系统，具有超温安全保护；水杯供水系统和冲痰盂系统可根据医生的要求设定时间。</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单元：强弱吸过滤器为旋入式设计，其过滤精度≤1㎜²，有效过滤面积≥600㎜²，过滤体积≥20㎜³，能更加精细地过滤，并可容纳更多固体污染物而不堵塞过滤器；强弱吸过滤器滤网采用医用高分子材料，耐酸碱腐蚀。</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侧箱单元：配备纯净水系统，纯净水瓶容量≥1000ml。</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侧箱单元：</w:t>
            </w:r>
            <w:r>
              <w:rPr>
                <w:rFonts w:hint="eastAsia" w:cstheme="minorBidi"/>
                <w:color w:val="auto"/>
                <w:kern w:val="2"/>
                <w:sz w:val="21"/>
                <w:szCs w:val="22"/>
                <w:lang w:val="en-US" w:eastAsia="zh-CN" w:bidi="ar-SA"/>
              </w:rPr>
              <w:t>应</w:t>
            </w:r>
            <w:r>
              <w:rPr>
                <w:rFonts w:hint="eastAsia" w:asciiTheme="minorHAnsi" w:hAnsiTheme="minorHAnsi" w:eastAsiaTheme="minorEastAsia" w:cstheme="minorBidi"/>
                <w:color w:val="auto"/>
                <w:kern w:val="2"/>
                <w:sz w:val="21"/>
                <w:szCs w:val="22"/>
                <w:lang w:val="en-US" w:eastAsia="zh-CN" w:bidi="ar-SA"/>
              </w:rPr>
              <w:t>采用优质水气管，耐高压</w:t>
            </w:r>
            <w:r>
              <w:rPr>
                <w:rFonts w:hint="eastAsia" w:cstheme="minorBidi"/>
                <w:color w:val="auto"/>
                <w:kern w:val="2"/>
                <w:sz w:val="21"/>
                <w:szCs w:val="22"/>
                <w:lang w:val="en-US" w:eastAsia="zh-CN" w:bidi="ar-SA"/>
              </w:rPr>
              <w:t>、</w:t>
            </w:r>
            <w:r>
              <w:rPr>
                <w:rFonts w:hint="eastAsia" w:asciiTheme="minorHAnsi" w:hAnsiTheme="minorHAnsi" w:eastAsiaTheme="minorEastAsia" w:cstheme="minorBidi"/>
                <w:color w:val="auto"/>
                <w:kern w:val="2"/>
                <w:sz w:val="21"/>
                <w:szCs w:val="22"/>
                <w:lang w:val="en-US" w:eastAsia="zh-CN" w:bidi="ar-SA"/>
              </w:rPr>
              <w:t>耐水解</w:t>
            </w:r>
            <w:r>
              <w:rPr>
                <w:rFonts w:hint="eastAsia" w:cstheme="minorBidi"/>
                <w:color w:val="auto"/>
                <w:kern w:val="2"/>
                <w:sz w:val="21"/>
                <w:szCs w:val="22"/>
                <w:lang w:val="en-US" w:eastAsia="zh-CN" w:bidi="ar-SA"/>
              </w:rPr>
              <w:t>、</w:t>
            </w:r>
            <w:r>
              <w:rPr>
                <w:rFonts w:hint="eastAsia" w:asciiTheme="minorHAnsi" w:hAnsiTheme="minorHAnsi" w:eastAsiaTheme="minorEastAsia" w:cstheme="minorBidi"/>
                <w:color w:val="auto"/>
                <w:kern w:val="2"/>
                <w:sz w:val="21"/>
                <w:szCs w:val="22"/>
                <w:lang w:val="en-US" w:eastAsia="zh-CN" w:bidi="ar-SA"/>
              </w:rPr>
              <w:t>耐酸碱腐蚀。</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助手位单元：配置≥9功能按键的控制面板和助手搁置台。</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助手位单元：强弱吸手柄各1支，手柄采用高分子材料制成，耐高温，耐酸碱腐蚀。</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助手位单元：配置热水三用枪一支。</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助手位单元：单关节助手杆，可进行大范围灵活转动，便于助手进行四手操作。</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bookmarkStart w:id="0" w:name="_Hlk118127231"/>
            <w:r>
              <w:rPr>
                <w:rFonts w:hint="eastAsia" w:asciiTheme="minorHAnsi" w:hAnsiTheme="minorHAnsi" w:eastAsiaTheme="minorEastAsia" w:cstheme="minorBidi"/>
                <w:color w:val="auto"/>
                <w:kern w:val="2"/>
                <w:sz w:val="21"/>
                <w:szCs w:val="22"/>
                <w:lang w:val="en-US" w:eastAsia="zh-CN" w:bidi="ar-SA"/>
              </w:rPr>
              <w:t>地箱：</w:t>
            </w:r>
            <w:bookmarkEnd w:id="0"/>
            <w:r>
              <w:rPr>
                <w:rFonts w:hint="eastAsia" w:asciiTheme="minorHAnsi" w:hAnsiTheme="minorHAnsi" w:eastAsiaTheme="minorEastAsia" w:cstheme="minorBidi"/>
                <w:color w:val="auto"/>
                <w:kern w:val="2"/>
                <w:sz w:val="21"/>
                <w:szCs w:val="22"/>
                <w:lang w:val="en-US" w:eastAsia="zh-CN" w:bidi="ar-SA"/>
              </w:rPr>
              <w:t>内置封闭电源：防潮、防尘，防电磁干扰；裸露的电线都符合人体安全电压。</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地箱防污染的下水排污连接组件，可有效隔绝下水管道对诊室造成的病菌、异味和污水回流的污染。</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cstheme="minorBidi"/>
                <w:color w:val="auto"/>
                <w:kern w:val="2"/>
                <w:sz w:val="21"/>
                <w:szCs w:val="22"/>
                <w:lang w:val="en-US" w:eastAsia="zh-CN" w:bidi="ar-SA"/>
              </w:rPr>
              <w:t>配备</w:t>
            </w:r>
            <w:r>
              <w:rPr>
                <w:rFonts w:hint="eastAsia" w:asciiTheme="minorHAnsi" w:hAnsiTheme="minorHAnsi" w:eastAsiaTheme="minorEastAsia" w:cstheme="minorBidi"/>
                <w:color w:val="auto"/>
                <w:kern w:val="2"/>
                <w:sz w:val="21"/>
                <w:szCs w:val="22"/>
                <w:lang w:val="en-US" w:eastAsia="zh-CN" w:bidi="ar-SA"/>
              </w:rPr>
              <w:t>多功能脚踏，水气独立控制，低位踏板，踩踏力度小，在通气0.55MPa情况下，踏板从初始位置踩到底板平面位置所需的踩踏力度≤30N，踏板端面到地面高度≤29mm。</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配置医生椅至少有6个方位可调节；脚轮架采用精密铝合金铸造件，脚轮采用静音轮。</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w:t>
            </w:r>
            <w:r>
              <w:rPr>
                <w:rFonts w:hint="eastAsia" w:asciiTheme="minorEastAsia" w:hAnsiTheme="minorEastAsia" w:eastAsiaTheme="minorEastAsia" w:cstheme="minorEastAsia"/>
                <w:kern w:val="0"/>
                <w:sz w:val="21"/>
                <w:szCs w:val="21"/>
                <w:lang w:bidi="lo-LA"/>
              </w:rPr>
              <w:t>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资质要求：具备CFDA和FDA认证。</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2"/>
                <w:sz w:val="21"/>
                <w:szCs w:val="21"/>
                <w:lang w:val="en-US" w:eastAsia="zh-CN"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eastAsiaTheme="minorEastAsia" w:cstheme="minorEastAsia"/>
                <w:kern w:val="0"/>
                <w:sz w:val="21"/>
                <w:szCs w:val="21"/>
                <w:lang w:val="en-US" w:eastAsia="zh-CN" w:bidi="lo-LA"/>
              </w:rPr>
              <w:t>3</w:t>
            </w:r>
            <w:r>
              <w:rPr>
                <w:rFonts w:hint="eastAsia" w:asciiTheme="minorEastAsia" w:hAnsiTheme="minorEastAsia" w:cstheme="minorEastAsia"/>
                <w:kern w:val="0"/>
                <w:sz w:val="21"/>
                <w:szCs w:val="21"/>
                <w:lang w:val="en-US" w:eastAsia="zh-CN" w:bidi="lo-LA"/>
              </w:rPr>
              <w:t>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牙椅注册使用期限</w:t>
            </w:r>
            <w:r>
              <w:rPr>
                <w:rFonts w:hint="eastAsia" w:cstheme="minorBidi"/>
                <w:color w:val="auto"/>
                <w:kern w:val="2"/>
                <w:sz w:val="21"/>
                <w:szCs w:val="22"/>
                <w:lang w:val="en-US" w:eastAsia="zh-CN" w:bidi="ar-SA"/>
              </w:rPr>
              <w:t>不少于</w:t>
            </w:r>
            <w:r>
              <w:rPr>
                <w:rFonts w:hint="eastAsia" w:asciiTheme="minorHAnsi" w:hAnsiTheme="minorHAnsi" w:eastAsiaTheme="minorEastAsia" w:cstheme="minorBidi"/>
                <w:color w:val="auto"/>
                <w:kern w:val="2"/>
                <w:sz w:val="21"/>
                <w:szCs w:val="22"/>
                <w:lang w:val="en-US" w:eastAsia="zh-CN" w:bidi="ar-SA"/>
              </w:rPr>
              <w:t>15年。</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val="en-US" w:eastAsia="zh-CN" w:bidi="lo-LA"/>
              </w:rPr>
            </w:pPr>
            <w:r>
              <w:rPr>
                <w:rFonts w:hint="eastAsia" w:asciiTheme="minorEastAsia" w:hAnsiTheme="minorEastAsia" w:cstheme="minorEastAsia"/>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Theme="minorHAnsi" w:hAnsiTheme="minorHAnsi" w:eastAsiaTheme="minorEastAsia" w:cstheme="minorBidi"/>
                <w:color w:val="auto"/>
                <w:kern w:val="2"/>
                <w:sz w:val="21"/>
                <w:szCs w:val="22"/>
                <w:lang w:val="en-US" w:eastAsia="zh-CN" w:bidi="ar-SA"/>
              </w:rPr>
            </w:pPr>
            <w:r>
              <w:rPr>
                <w:rFonts w:hint="eastAsia" w:ascii="宋体" w:hAnsi="宋体" w:eastAsia="宋体" w:cs="宋体"/>
                <w:kern w:val="0"/>
                <w:sz w:val="21"/>
                <w:szCs w:val="21"/>
                <w:lang w:val="en-US" w:eastAsia="zh-CN" w:bidi="lo-LA"/>
              </w:rPr>
              <w:t>中标单位所供设备的生产日期距合同签订日期应在3个月以内。</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heme="minorEastAsia" w:hAnsiTheme="minorEastAsia" w:cstheme="minorEastAsia"/>
                <w:sz w:val="21"/>
                <w:szCs w:val="21"/>
                <w:lang w:val="en-US" w:eastAsia="zh-CN" w:bidi="lo-LA"/>
              </w:rPr>
            </w:pPr>
            <w:r>
              <w:rPr>
                <w:rFonts w:hint="eastAsia" w:asciiTheme="minorEastAsia" w:hAnsiTheme="minorEastAsia" w:cstheme="minorEastAsia"/>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注：1.“参数性质”标“*”表示此参数为主要技术参数，不满足任意1条即取消投标资格。</w:t>
            </w:r>
          </w:p>
          <w:p>
            <w:pPr>
              <w:widowControl/>
              <w:tabs>
                <w:tab w:val="left" w:pos="1110"/>
              </w:tabs>
              <w:spacing w:line="24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kern w:val="0"/>
                <w:sz w:val="21"/>
                <w:szCs w:val="21"/>
                <w:lang w:val="en-US" w:eastAsia="zh-CN"/>
              </w:rPr>
              <w:t>2.非主要技术参数，超过</w:t>
            </w:r>
            <w:r>
              <w:rPr>
                <w:rFonts w:hint="eastAsia" w:asciiTheme="minorEastAsia" w:hAnsi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val="en-US" w:eastAsia="zh-CN"/>
              </w:rPr>
              <w:t>条不满足即取消投标资格。</w:t>
            </w:r>
          </w:p>
        </w:tc>
      </w:tr>
    </w:tbl>
    <w:p>
      <w:pPr>
        <w:spacing w:line="360" w:lineRule="auto"/>
        <w:rPr>
          <w:rFonts w:hint="eastAsia" w:ascii="宋体" w:hAnsi="宋体" w:cs="宋体"/>
          <w:kern w:val="0"/>
          <w:sz w:val="24"/>
          <w:szCs w:val="24"/>
          <w:u w:val="none"/>
          <w:lang w:val="en-US" w:eastAsia="zh-CN"/>
        </w:rPr>
      </w:pPr>
      <w:r>
        <w:rPr>
          <w:rFonts w:hint="eastAsia" w:ascii="宋体" w:hAnsi="宋体" w:cs="宋体"/>
          <w:sz w:val="24"/>
          <w:szCs w:val="24"/>
        </w:rPr>
        <w:t>附表</w:t>
      </w:r>
      <w:r>
        <w:rPr>
          <w:rFonts w:hint="eastAsia" w:ascii="宋体" w:hAnsi="宋体" w:cs="宋体"/>
          <w:sz w:val="24"/>
          <w:szCs w:val="24"/>
          <w:lang w:val="en-US" w:eastAsia="zh-CN"/>
        </w:rPr>
        <w:t>2</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种植椅</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none"/>
          <w:lang w:val="en-US" w:eastAsia="zh-CN"/>
        </w:rPr>
        <w:t>。</w:t>
      </w:r>
    </w:p>
    <w:tbl>
      <w:tblPr>
        <w:tblStyle w:val="9"/>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技术参数和性能指标</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供气压力范围</w:t>
            </w:r>
            <w:r>
              <w:rPr>
                <w:rFonts w:hint="eastAsia" w:cstheme="minorBidi"/>
                <w:color w:val="auto"/>
                <w:kern w:val="2"/>
                <w:sz w:val="21"/>
                <w:szCs w:val="22"/>
                <w:lang w:val="en-US" w:eastAsia="zh-CN" w:bidi="ar-SA"/>
              </w:rPr>
              <w:t>：</w:t>
            </w:r>
            <w:r>
              <w:rPr>
                <w:rFonts w:hint="eastAsia" w:asciiTheme="minorHAnsi" w:hAnsiTheme="minorHAnsi" w:eastAsiaTheme="minorEastAsia" w:cstheme="minorBidi"/>
                <w:color w:val="auto"/>
                <w:kern w:val="2"/>
                <w:sz w:val="21"/>
                <w:szCs w:val="22"/>
                <w:lang w:val="en-US" w:eastAsia="zh-CN" w:bidi="ar-SA"/>
              </w:rPr>
              <w:t>0.55—0.80Mpa</w:t>
            </w:r>
            <w:r>
              <w:rPr>
                <w:rFonts w:hint="eastAsia" w:cstheme="minorBidi"/>
                <w:color w:val="auto"/>
                <w:kern w:val="2"/>
                <w:sz w:val="21"/>
                <w:szCs w:val="22"/>
                <w:lang w:val="en-US" w:eastAsia="zh-CN" w:bidi="ar-SA"/>
              </w:rPr>
              <w:t>，</w:t>
            </w:r>
            <w:r>
              <w:rPr>
                <w:rFonts w:hint="eastAsia" w:asciiTheme="minorHAnsi" w:hAnsiTheme="minorHAnsi" w:eastAsiaTheme="minorEastAsia" w:cstheme="minorBidi"/>
                <w:color w:val="auto"/>
                <w:kern w:val="2"/>
                <w:sz w:val="21"/>
                <w:szCs w:val="22"/>
                <w:lang w:val="en-US" w:eastAsia="zh-CN" w:bidi="ar-SA"/>
              </w:rPr>
              <w:t>流量≥55L/min；</w:t>
            </w:r>
          </w:p>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水源水压范围</w:t>
            </w:r>
            <w:r>
              <w:rPr>
                <w:rFonts w:hint="eastAsia" w:cstheme="minorBidi"/>
                <w:color w:val="auto"/>
                <w:kern w:val="2"/>
                <w:sz w:val="21"/>
                <w:szCs w:val="22"/>
                <w:lang w:val="en-US" w:eastAsia="zh-CN" w:bidi="ar-SA"/>
              </w:rPr>
              <w:t>：</w:t>
            </w:r>
            <w:r>
              <w:rPr>
                <w:rFonts w:hint="eastAsia" w:asciiTheme="minorHAnsi" w:hAnsiTheme="minorHAnsi" w:eastAsiaTheme="minorEastAsia" w:cstheme="minorBidi"/>
                <w:color w:val="auto"/>
                <w:kern w:val="2"/>
                <w:sz w:val="21"/>
                <w:szCs w:val="22"/>
                <w:lang w:val="en-US" w:eastAsia="zh-CN" w:bidi="ar-SA"/>
              </w:rPr>
              <w:t>0.2—0.4Mpa</w:t>
            </w:r>
            <w:r>
              <w:rPr>
                <w:rFonts w:hint="eastAsia" w:cstheme="minorBidi"/>
                <w:color w:val="auto"/>
                <w:kern w:val="2"/>
                <w:sz w:val="21"/>
                <w:szCs w:val="22"/>
                <w:lang w:val="en-US" w:eastAsia="zh-CN" w:bidi="ar-SA"/>
              </w:rPr>
              <w:t>，</w:t>
            </w:r>
            <w:r>
              <w:rPr>
                <w:rFonts w:hint="eastAsia" w:asciiTheme="minorHAnsi" w:hAnsiTheme="minorHAnsi" w:eastAsiaTheme="minorEastAsia" w:cstheme="minorBidi"/>
                <w:color w:val="auto"/>
                <w:kern w:val="2"/>
                <w:sz w:val="21"/>
                <w:szCs w:val="22"/>
                <w:lang w:val="en-US" w:eastAsia="zh-CN" w:bidi="ar-SA"/>
              </w:rPr>
              <w:t xml:space="preserve"> 流量≥10L/min。</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手术灯和专业手术抽吸集成与牙椅一体式设计，节约诊室活动空间。</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手术灯：</w:t>
            </w:r>
            <w:r>
              <w:rPr>
                <w:rFonts w:hint="eastAsia" w:cstheme="minorBidi"/>
                <w:color w:val="auto"/>
                <w:kern w:val="2"/>
                <w:sz w:val="21"/>
                <w:szCs w:val="22"/>
                <w:lang w:val="en-US" w:eastAsia="zh-CN" w:bidi="ar-SA"/>
              </w:rPr>
              <w:t>应</w:t>
            </w:r>
            <w:r>
              <w:rPr>
                <w:rFonts w:hint="eastAsia" w:asciiTheme="minorHAnsi" w:hAnsiTheme="minorHAnsi" w:eastAsiaTheme="minorEastAsia" w:cstheme="minorBidi"/>
                <w:color w:val="auto"/>
                <w:kern w:val="2"/>
                <w:sz w:val="21"/>
                <w:szCs w:val="22"/>
                <w:lang w:val="en-US" w:eastAsia="zh-CN" w:bidi="ar-SA"/>
              </w:rPr>
              <w:t>与治疗机同品牌，可多方位旋转的LED无影手术灯，拥有≥20颗进口灯珠，可手动和感应调节光照强度，最大光照强度≥70000Lux，灯光照明深度≥1700mm；可产生直径≥20cm的超大圆形光斑，足以覆盖全口腔照明；配置可拆卸消毒的手柄。</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w:t>
            </w:r>
            <w:r>
              <w:rPr>
                <w:rFonts w:hint="eastAsia" w:cstheme="minorBidi"/>
                <w:color w:val="auto"/>
                <w:kern w:val="2"/>
                <w:sz w:val="21"/>
                <w:szCs w:val="22"/>
                <w:lang w:val="en-US" w:eastAsia="zh-CN" w:bidi="ar-SA"/>
              </w:rPr>
              <w:t>应</w:t>
            </w:r>
            <w:r>
              <w:rPr>
                <w:rFonts w:hint="eastAsia" w:asciiTheme="minorHAnsi" w:hAnsiTheme="minorHAnsi" w:eastAsiaTheme="minorEastAsia" w:cstheme="minorBidi"/>
                <w:color w:val="auto"/>
                <w:kern w:val="2"/>
                <w:sz w:val="21"/>
                <w:szCs w:val="22"/>
                <w:lang w:val="en-US" w:eastAsia="zh-CN" w:bidi="ar-SA"/>
              </w:rPr>
              <w:t>整体采用金属材质骨架和底座，座椅承重范围≥160kg，可承受≥160kg*4的载荷试验（需提供投标产品生产厂家提供的证明牙椅承重能力的第三方检测报告）；座椅升降范围 ：最高≥760mm，最低≤370mm；座椅后倾角≥10°；椅背可调至低于水平≤15°</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牙科椅：靠背主体采用冷轧钢板和静电喷涂工艺；坐垫和靠背背板为ABS工程塑料的材质，防潮防霉。免工具挂扣式安装方式，方便拆卸清洁</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牙科椅：符合人体工程学的靠背设计，便于医生在治疗时能从各个方位靠近患者；靠背中心与边缘落差≥6cm，为医生和助手预留充足的腿部空间</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牙科椅：牙椅皮革采用接触面无缝工艺缝制，便于感控；皮革表面具备防霉抗菌涂层，参照ASTM G21-96（2002）标准，防霉效果为“不长菌落”；参照ISO 22196-2007标准，大肠杆菌和金黄色葡萄球菌的抗菌率皆不低于99.9%</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牙科椅：头枕长度可在0-150mm间调节；头枕旋钮不阻碍医生腿部动作</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牙科椅：弯板采用精密铝合金铸造工艺；座椅扶手为外翻式设计，医生侧的扶手可向外翻转≥90°，便于患者上下牙椅</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牙科椅：配置一套腰枕颈枕，优质皮垫材质，并带有可回弹的优质记忆棉填充</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牙科椅：具备椅位补偿功能，靠背仰俯操作同时坐垫进行同方向小幅度抬升或回落，让患者治疗体验更舒适</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牙科椅具备直流∕变频∕调速系统，装备低压直流电机，具有升降瞬间延时功能，使病人感觉不到椅子的瞬间冲力，无顿挫感。</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牙科椅具备开机自检功能、紧急修复功能、供水、冲痰联动功能、灯椅联动功能、智能复位功能、紧急制动安全装置等功能。</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具有一键漱口功能：只需轻松一踩脚踏，即可自动完成供水、口腔灯关闭、漱口椅位、冲盂等所有步骤，再次踩下，即可恢复原状，继续治疗</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牙科椅具备≥3个记忆椅位。</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治疗台单元：推车式治疗台，可通过手动调节治疗台高度，面积≥1800cm²不锈钢器械盘，易清洁消毒；配置≥15功能按键面板；配置≥2个220V电源插口，可连接种植机或心电监护仪；配置拨杆式一键水气电开关，可一键关闭水、气和电的通断；配置面积≥1800cm²第二托盘，易消毒不锈钢材质，可进行大范围旋转</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侧箱单元：可旋转≥135°的一体式陶瓷痰盂缸；具有漱口水恒温系统，具有超温安全保护；水杯供水系统和冲痰盂系统可根据医生的要求设定时间</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单元：强弱吸过滤器为旋入式设计，其过滤精度≤1㎜²，有效过滤面积≥600㎜²，过滤体积≥20㎜³，能更加精细地过滤，并可容纳更多固体污染物而不堵塞过滤器；强弱吸过滤器滤网采用医用高分子材料，耐酸碱腐蚀</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19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侧箱单元：牙椅本身自带有≥3套吸唾系统，可分别用于综合治疗和专业种植</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侧箱单元：集成化抽吸系统：标配一次性集污装置，内置一次性集污袋（或选配多次消毒玻璃集污瓶）；集污装置位于侧箱前部，吸唾的污渍血液不经过侧箱过滤，而是直接进入集污袋内，提升感控；配置可拆卸高温高压消毒的金属手柄，防止交叉感染风险</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助手位单元：配置≥10功能助手控制面板；可进行≥300度的旋转；可伸缩铝合金助手杆，可进行大范围活动；助手器械挂架可进行水平旋转≥200°；挂架位可单独垂直旋转≥280°</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助手位单元强弱吸手柄各1支，手柄采用高分子材料制成，耐高温，耐酸碱腐蚀</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助手位单元：配置三用枪一支</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地箱：地箱内置封闭电源：防潮、防尘，防电磁干扰；裸露的电线都符合人体安全电压</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地箱：防污染的下水排污连接组件，可有效隔绝下水管道对诊室造成的病菌、异味和污水回流的污染</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地箱：配置医生脚踏和助手脚踏，医生脚踏可控制手机工作，助手脚踏控制椅位升降、靠背俯仰、椅位复位、一键漱口冲盂、种植负压吸引器工作以及吸唾</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地箱：配置医生椅至少有六个方位可调节；脚轮架采用精密铝合金铸造件，脚轮采用静音轮</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地箱：配置护士椅拥有可旋转扶手，为手臂提供有力支撑，避免长时间悬臂而引起的手臂酸痛，金属椅脚，坚固耐用</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29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资质要求：具备CFDA和FDA认证</w:t>
            </w:r>
            <w:r>
              <w:rPr>
                <w:rFonts w:hint="eastAsia" w:cstheme="minorBidi"/>
                <w:color w:val="auto"/>
                <w:kern w:val="2"/>
                <w:sz w:val="21"/>
                <w:szCs w:val="22"/>
                <w:lang w:val="en-US" w:eastAsia="zh-CN" w:bidi="ar-S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2"/>
                <w:sz w:val="21"/>
                <w:szCs w:val="21"/>
                <w:lang w:val="en-US" w:eastAsia="zh-CN"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牙椅注册使用期限</w:t>
            </w:r>
            <w:r>
              <w:rPr>
                <w:rFonts w:hint="eastAsia" w:cstheme="minorBidi"/>
                <w:color w:val="auto"/>
                <w:kern w:val="2"/>
                <w:sz w:val="21"/>
                <w:szCs w:val="22"/>
                <w:lang w:val="en-US" w:eastAsia="zh-CN" w:bidi="ar-SA"/>
              </w:rPr>
              <w:t>不少于</w:t>
            </w:r>
            <w:r>
              <w:rPr>
                <w:rFonts w:hint="eastAsia" w:asciiTheme="minorHAnsi" w:hAnsiTheme="minorHAnsi" w:eastAsiaTheme="minorEastAsia" w:cstheme="minorBidi"/>
                <w:color w:val="auto"/>
                <w:kern w:val="2"/>
                <w:sz w:val="21"/>
                <w:szCs w:val="22"/>
                <w:lang w:val="en-US" w:eastAsia="zh-CN" w:bidi="ar-SA"/>
              </w:rPr>
              <w:t>15年。</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cstheme="minorEastAsia"/>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宋体" w:hAnsi="宋体" w:eastAsia="宋体" w:cs="宋体"/>
                <w:kern w:val="0"/>
                <w:sz w:val="21"/>
                <w:szCs w:val="21"/>
                <w:lang w:val="en-US" w:eastAsia="zh-CN" w:bidi="lo-LA"/>
              </w:rPr>
              <w:t>中标单位所供设备的生产日期距合同签订日期应在3个月以内。</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cstheme="minorEastAsia"/>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cstheme="minorEastAsia"/>
                <w:kern w:val="0"/>
                <w:sz w:val="21"/>
                <w:szCs w:val="21"/>
                <w:lang w:val="en-US" w:eastAsia="zh-CN" w:bidi="lo-LA"/>
              </w:rPr>
            </w:pPr>
            <w:r>
              <w:rPr>
                <w:rFonts w:hint="eastAsia" w:asciiTheme="minorEastAsia" w:hAnsiTheme="minorEastAsia" w:cstheme="minorEastAsia"/>
                <w:kern w:val="0"/>
                <w:sz w:val="21"/>
                <w:szCs w:val="21"/>
                <w:lang w:val="en-US" w:eastAsia="zh-CN" w:bidi="lo-LA"/>
              </w:rPr>
              <w:t>32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HAnsi" w:hAnsiTheme="minorHAnsi" w:eastAsiaTheme="minorEastAsia" w:cstheme="minorBidi"/>
                <w:color w:val="auto"/>
                <w:kern w:val="2"/>
                <w:sz w:val="21"/>
                <w:szCs w:val="22"/>
                <w:lang w:val="en-US" w:eastAsia="zh-CN" w:bidi="ar-SA"/>
              </w:rPr>
            </w:pPr>
            <w:r>
              <w:rPr>
                <w:rFonts w:hint="eastAsia" w:ascii="宋体" w:hAnsi="宋体" w:eastAsia="宋体" w:cs="宋体"/>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注：1.“参数性质”标“*”表示此参数为主要技术参数，不满足任意1条即取消投标资格。</w:t>
            </w:r>
          </w:p>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2.非主要技术参数，超过</w:t>
            </w:r>
            <w:r>
              <w:rPr>
                <w:rFonts w:hint="eastAsia" w:asciiTheme="minorEastAsia" w:hAnsi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val="en-US" w:eastAsia="zh-CN"/>
              </w:rPr>
              <w:t>条不满足即取消投标资格。</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审查投标人2021年或2022年度经会计事务所出具的财务审计报告或其基本开户银行出具的近一年内的银行资信证明。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六、合同签订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1" w:name="_Toc422403383"/>
    </w:p>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3"/>
        <w:rPr>
          <w:color w:val="000000"/>
        </w:rPr>
      </w:pPr>
      <w:r>
        <w:rPr>
          <w:rFonts w:hint="eastAsia"/>
          <w:color w:val="000000"/>
        </w:rPr>
        <w:t>（封面）</w:t>
      </w:r>
      <w:bookmarkEnd w:id="1"/>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十七、产品配置清单</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十八、其他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36C2F53"/>
    <w:rsid w:val="05076A5B"/>
    <w:rsid w:val="06B07F83"/>
    <w:rsid w:val="0DA07F51"/>
    <w:rsid w:val="10D60D02"/>
    <w:rsid w:val="11AB1717"/>
    <w:rsid w:val="11EF4694"/>
    <w:rsid w:val="150E71F6"/>
    <w:rsid w:val="1696735F"/>
    <w:rsid w:val="16E14FBF"/>
    <w:rsid w:val="19545A30"/>
    <w:rsid w:val="198E5E9E"/>
    <w:rsid w:val="19BD2CB7"/>
    <w:rsid w:val="1BB9254A"/>
    <w:rsid w:val="1DCA77EF"/>
    <w:rsid w:val="1ED20D4A"/>
    <w:rsid w:val="20341AF8"/>
    <w:rsid w:val="216D46C6"/>
    <w:rsid w:val="224C6733"/>
    <w:rsid w:val="23507ADC"/>
    <w:rsid w:val="24A7212A"/>
    <w:rsid w:val="25757733"/>
    <w:rsid w:val="26470B4A"/>
    <w:rsid w:val="266437D3"/>
    <w:rsid w:val="267A5F90"/>
    <w:rsid w:val="26915EA6"/>
    <w:rsid w:val="276714E7"/>
    <w:rsid w:val="281659F6"/>
    <w:rsid w:val="293A1937"/>
    <w:rsid w:val="2B28723B"/>
    <w:rsid w:val="2B5C1706"/>
    <w:rsid w:val="2B8A6B32"/>
    <w:rsid w:val="2BAC4D24"/>
    <w:rsid w:val="2D1D3BDB"/>
    <w:rsid w:val="2D833519"/>
    <w:rsid w:val="2DFB03C5"/>
    <w:rsid w:val="2FC378C6"/>
    <w:rsid w:val="2FDF17DF"/>
    <w:rsid w:val="302671DA"/>
    <w:rsid w:val="30D15875"/>
    <w:rsid w:val="32441EA5"/>
    <w:rsid w:val="3281623F"/>
    <w:rsid w:val="32944704"/>
    <w:rsid w:val="34D54377"/>
    <w:rsid w:val="378A70E6"/>
    <w:rsid w:val="37FC75FC"/>
    <w:rsid w:val="383D56F7"/>
    <w:rsid w:val="393C0F46"/>
    <w:rsid w:val="3E650D1D"/>
    <w:rsid w:val="3E9002A8"/>
    <w:rsid w:val="3F552A03"/>
    <w:rsid w:val="44AA028A"/>
    <w:rsid w:val="4603606C"/>
    <w:rsid w:val="47C04769"/>
    <w:rsid w:val="486160DA"/>
    <w:rsid w:val="489F057B"/>
    <w:rsid w:val="4AED3729"/>
    <w:rsid w:val="4E473895"/>
    <w:rsid w:val="50110E80"/>
    <w:rsid w:val="511070DA"/>
    <w:rsid w:val="53560822"/>
    <w:rsid w:val="557D67C8"/>
    <w:rsid w:val="571E5CB6"/>
    <w:rsid w:val="59137211"/>
    <w:rsid w:val="5C344BB6"/>
    <w:rsid w:val="5DFF20EB"/>
    <w:rsid w:val="5E1C5429"/>
    <w:rsid w:val="5ED418C8"/>
    <w:rsid w:val="5EF71E76"/>
    <w:rsid w:val="616C33F6"/>
    <w:rsid w:val="62DE1443"/>
    <w:rsid w:val="62E24E32"/>
    <w:rsid w:val="64E47B74"/>
    <w:rsid w:val="6585763E"/>
    <w:rsid w:val="661108EC"/>
    <w:rsid w:val="669049D8"/>
    <w:rsid w:val="67D14995"/>
    <w:rsid w:val="6C0D60E9"/>
    <w:rsid w:val="6D4F63E7"/>
    <w:rsid w:val="6EF0008F"/>
    <w:rsid w:val="6F3911E0"/>
    <w:rsid w:val="6F5104C0"/>
    <w:rsid w:val="719B7B32"/>
    <w:rsid w:val="71DA20A9"/>
    <w:rsid w:val="75080C92"/>
    <w:rsid w:val="78564BB1"/>
    <w:rsid w:val="789D6358"/>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autoRedefine/>
    <w:qFormat/>
    <w:uiPriority w:val="7"/>
    <w:pPr>
      <w:spacing w:before="340" w:after="330" w:line="578" w:lineRule="auto"/>
      <w:outlineLvl w:val="0"/>
    </w:pPr>
    <w:rPr>
      <w:b/>
      <w:sz w:val="44"/>
      <w:szCs w:val="44"/>
    </w:rPr>
  </w:style>
  <w:style w:type="paragraph" w:styleId="3">
    <w:name w:val="heading 2"/>
    <w:basedOn w:val="1"/>
    <w:next w:val="1"/>
    <w:autoRedefine/>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autoRedefine/>
    <w:semiHidden/>
    <w:qFormat/>
    <w:uiPriority w:val="2"/>
  </w:style>
  <w:style w:type="table" w:default="1" w:styleId="9">
    <w:name w:val="Normal Table"/>
    <w:autoRedefine/>
    <w:semiHidden/>
    <w:qFormat/>
    <w:uiPriority w:val="3"/>
    <w:tblPr>
      <w:tblCellMar>
        <w:top w:w="0" w:type="dxa"/>
        <w:left w:w="108" w:type="dxa"/>
        <w:bottom w:w="0" w:type="dxa"/>
        <w:right w:w="108" w:type="dxa"/>
      </w:tblCellMar>
    </w:tblPr>
  </w:style>
  <w:style w:type="paragraph" w:styleId="4">
    <w:name w:val="Plain Text"/>
    <w:basedOn w:val="5"/>
    <w:next w:val="1"/>
    <w:qFormat/>
    <w:uiPriority w:val="0"/>
    <w:rPr>
      <w:rFonts w:ascii="宋体" w:hAnsi="Courier New"/>
    </w:rPr>
  </w:style>
  <w:style w:type="paragraph" w:customStyle="1" w:styleId="5">
    <w:name w:val="Normal_6"/>
    <w:next w:val="4"/>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autoRedefine/>
    <w:qFormat/>
    <w:uiPriority w:val="151"/>
    <w:pPr>
      <w:tabs>
        <w:tab w:val="center" w:pos="4153"/>
        <w:tab w:val="right" w:pos="8306"/>
      </w:tabs>
      <w:snapToGrid w:val="0"/>
      <w:jc w:val="left"/>
    </w:pPr>
    <w:rPr>
      <w:sz w:val="18"/>
      <w:szCs w:val="18"/>
    </w:rPr>
  </w:style>
  <w:style w:type="paragraph" w:styleId="7">
    <w:name w:val="header"/>
    <w:basedOn w:val="1"/>
    <w:autoRedefine/>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autoRedefine/>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autoRedefine/>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26"/>
    <w:pPr>
      <w:ind w:firstLine="200"/>
    </w:pPr>
    <w:rPr>
      <w:rFonts w:ascii="Times New Roman" w:hAnsi="Times New Roman" w:eastAsia="宋体" w:cs="Times New Roman"/>
      <w:sz w:val="28"/>
      <w:szCs w:val="28"/>
    </w:rPr>
  </w:style>
  <w:style w:type="character" w:customStyle="1" w:styleId="13">
    <w:name w:val="NormalCharacter"/>
    <w:link w:val="1"/>
    <w:autoRedefine/>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autoRedefine/>
    <w:qFormat/>
    <w:uiPriority w:val="0"/>
    <w:rPr>
      <w:rFonts w:hint="eastAsia" w:ascii="宋体" w:hAnsi="宋体" w:eastAsia="宋体" w:cs="宋体"/>
      <w:color w:val="000000"/>
      <w:sz w:val="24"/>
      <w:szCs w:val="24"/>
      <w:u w:val="none"/>
    </w:rPr>
  </w:style>
  <w:style w:type="character" w:customStyle="1" w:styleId="15">
    <w:name w:val="font31"/>
    <w:basedOn w:val="11"/>
    <w:autoRedefine/>
    <w:qFormat/>
    <w:uiPriority w:val="0"/>
    <w:rPr>
      <w:rFonts w:hint="eastAsia" w:ascii="宋体" w:hAnsi="宋体" w:eastAsia="宋体" w:cs="宋体"/>
      <w:color w:val="000000"/>
      <w:sz w:val="21"/>
      <w:szCs w:val="21"/>
      <w:u w:val="none"/>
    </w:rPr>
  </w:style>
  <w:style w:type="paragraph" w:customStyle="1" w:styleId="16">
    <w:name w:val="List Paragraph_4824d229-415e-4c56-a884-f4834b61f8de"/>
    <w:basedOn w:val="1"/>
    <w:autoRedefine/>
    <w:qFormat/>
    <w:uiPriority w:val="34"/>
    <w:pPr>
      <w:ind w:firstLine="420" w:firstLineChars="200"/>
    </w:pPr>
    <w:rPr>
      <w:rFonts w:ascii="Times New Roman" w:hAnsi="Times New Roman" w:eastAsia="宋体" w:cs="Times New Roman"/>
      <w:sz w:val="28"/>
      <w:szCs w:val="21"/>
    </w:rPr>
  </w:style>
  <w:style w:type="character" w:customStyle="1" w:styleId="17">
    <w:name w:val="font41"/>
    <w:basedOn w:val="11"/>
    <w:autoRedefine/>
    <w:qFormat/>
    <w:uiPriority w:val="0"/>
    <w:rPr>
      <w:rFonts w:ascii="Calibri" w:hAnsi="Calibri" w:cs="Calibri"/>
      <w:color w:val="000000"/>
      <w:sz w:val="28"/>
      <w:szCs w:val="28"/>
      <w:u w:val="none"/>
    </w:rPr>
  </w:style>
  <w:style w:type="character" w:customStyle="1" w:styleId="18">
    <w:name w:val="font21"/>
    <w:basedOn w:val="11"/>
    <w:autoRedefine/>
    <w:qFormat/>
    <w:uiPriority w:val="0"/>
    <w:rPr>
      <w:rFonts w:hint="eastAsia" w:ascii="宋体" w:hAnsi="宋体" w:eastAsia="宋体" w:cs="宋体"/>
      <w:color w:val="000000"/>
      <w:sz w:val="21"/>
      <w:szCs w:val="21"/>
      <w:u w:val="none"/>
    </w:rPr>
  </w:style>
  <w:style w:type="paragraph" w:customStyle="1" w:styleId="19">
    <w:name w:val="paragraph"/>
    <w:basedOn w:val="1"/>
    <w:autoRedefine/>
    <w:qFormat/>
    <w:uiPriority w:val="0"/>
    <w:pPr>
      <w:widowControl/>
      <w:snapToGrid/>
      <w:spacing w:before="100" w:beforeAutospacing="1" w:after="100" w:afterAutospacing="1" w:line="240" w:lineRule="auto"/>
    </w:pPr>
    <w:rPr>
      <w:rFonts w:ascii="宋体" w:hAnsi="宋体" w:eastAsia="宋体" w:cs="宋体"/>
      <w:color w:val="auto"/>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6874</Words>
  <Characters>7938</Characters>
  <Lines>0</Lines>
  <Paragraphs>0</Paragraphs>
  <TotalTime>0</TotalTime>
  <ScaleCrop>false</ScaleCrop>
  <LinksUpToDate>false</LinksUpToDate>
  <CharactersWithSpaces>8255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2024-04-22T02:42:17Z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82E273457B2347DD915BEB6E2EEC5732_13</vt:lpwstr>
  </property>
  <property fmtid="{D5CDD505-2E9C-101B-9397-08002B2CF9AE}" pid="4" name="commondata">
    <vt:lpwstr>eyJoZGlkIjoiM2I5YmQyM2VlMzIyNzg3MTM0MjMzMjczYWU0N2U3MTcifQ==</vt:lpwstr>
  </property>
</Properties>
</file>